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jc w:val="left"/>
        <w:rPr>
          <w:rFonts w:ascii="仿宋" w:hAnsi="仿宋" w:eastAsia="仿宋" w:cs="仿宋"/>
          <w:szCs w:val="24"/>
        </w:rPr>
      </w:pPr>
      <w:r>
        <w:rPr>
          <w:rFonts w:ascii="仿宋" w:hAnsi="仿宋" w:eastAsia="仿宋" w:cs="仿宋"/>
          <w:szCs w:val="24"/>
        </w:rPr>
        <w:t xml:space="preserve">                                   </w:t>
      </w:r>
    </w:p>
    <w:p>
      <w:pPr>
        <w:spacing w:line="360" w:lineRule="auto"/>
        <w:jc w:val="center"/>
        <w:rPr>
          <w:rFonts w:ascii="仿宋" w:hAnsi="仿宋" w:eastAsia="仿宋" w:cs="仿宋"/>
          <w:bCs/>
          <w:color w:val="000000"/>
          <w:w w:val="50"/>
          <w:sz w:val="24"/>
        </w:rPr>
      </w:pPr>
    </w:p>
    <w:p>
      <w:pPr>
        <w:spacing w:line="360" w:lineRule="auto"/>
        <w:jc w:val="center"/>
        <w:rPr>
          <w:rFonts w:ascii="仿宋" w:hAnsi="仿宋" w:eastAsia="仿宋" w:cs="仿宋"/>
          <w:b/>
          <w:color w:val="000000"/>
          <w:w w:val="66"/>
          <w:sz w:val="24"/>
        </w:rPr>
      </w:pPr>
    </w:p>
    <w:p>
      <w:pPr>
        <w:spacing w:line="360" w:lineRule="auto"/>
        <w:jc w:val="center"/>
        <w:rPr>
          <w:rFonts w:ascii="仿宋" w:hAnsi="仿宋" w:eastAsia="仿宋" w:cs="仿宋"/>
          <w:b/>
          <w:color w:val="000000"/>
          <w:w w:val="66"/>
          <w:sz w:val="24"/>
        </w:rPr>
      </w:pPr>
    </w:p>
    <w:p>
      <w:pPr>
        <w:spacing w:line="360" w:lineRule="auto"/>
        <w:jc w:val="center"/>
        <w:rPr>
          <w:rFonts w:ascii="仿宋" w:hAnsi="仿宋" w:eastAsia="仿宋" w:cs="仿宋"/>
          <w:b/>
          <w:color w:val="000000"/>
          <w:w w:val="66"/>
          <w:sz w:val="24"/>
        </w:rPr>
      </w:pPr>
    </w:p>
    <w:p>
      <w:pPr>
        <w:jc w:val="center"/>
        <w:rPr>
          <w:rFonts w:ascii="仿宋" w:hAnsi="仿宋" w:eastAsia="仿宋" w:cs="仿宋"/>
          <w:b/>
          <w:color w:val="000000"/>
          <w:w w:val="66"/>
          <w:sz w:val="72"/>
          <w:szCs w:val="72"/>
        </w:rPr>
      </w:pPr>
      <w:r>
        <w:rPr>
          <w:rFonts w:hint="eastAsia" w:ascii="仿宋" w:hAnsi="仿宋" w:eastAsia="仿宋" w:cs="仿宋"/>
          <w:b/>
          <w:color w:val="000000"/>
          <w:w w:val="66"/>
          <w:sz w:val="72"/>
          <w:szCs w:val="72"/>
        </w:rPr>
        <w:t>广东乐育尚学科技有限公司</w:t>
      </w:r>
    </w:p>
    <w:p>
      <w:pPr>
        <w:jc w:val="center"/>
        <w:rPr>
          <w:rFonts w:ascii="仿宋" w:hAnsi="仿宋" w:eastAsia="仿宋" w:cs="仿宋"/>
          <w:b/>
          <w:color w:val="000000"/>
          <w:w w:val="66"/>
          <w:sz w:val="72"/>
          <w:szCs w:val="72"/>
        </w:rPr>
      </w:pPr>
      <w:r>
        <w:rPr>
          <w:rFonts w:hint="eastAsia" w:ascii="仿宋" w:hAnsi="仿宋" w:eastAsia="仿宋" w:cs="仿宋"/>
          <w:b/>
          <w:color w:val="000000"/>
          <w:w w:val="66"/>
          <w:sz w:val="72"/>
          <w:szCs w:val="72"/>
        </w:rPr>
        <w:t>管理制度</w:t>
      </w:r>
    </w:p>
    <w:p>
      <w:pPr>
        <w:tabs>
          <w:tab w:val="left" w:pos="4515"/>
          <w:tab w:val="left" w:pos="5145"/>
          <w:tab w:val="left" w:pos="8610"/>
        </w:tabs>
        <w:spacing w:line="360" w:lineRule="auto"/>
        <w:jc w:val="center"/>
        <w:rPr>
          <w:rFonts w:ascii="仿宋" w:hAnsi="仿宋" w:eastAsia="仿宋" w:cs="仿宋"/>
          <w:b/>
          <w:color w:val="FF0000"/>
          <w:sz w:val="24"/>
        </w:rPr>
      </w:pPr>
      <w:r>
        <w:rPr>
          <w:rFonts w:hint="eastAsia" w:ascii="仿宋" w:hAnsi="仿宋" w:eastAsia="仿宋" w:cs="仿宋"/>
          <w:b/>
          <w:color w:val="FF0000"/>
          <w:sz w:val="24"/>
        </w:rPr>
        <w:t>————————————————★</w:t>
      </w:r>
      <w:r>
        <w:rPr>
          <w:rFonts w:ascii="仿宋" w:hAnsi="仿宋" w:eastAsia="仿宋" w:cs="仿宋"/>
          <w:b/>
          <w:color w:val="000000"/>
          <w:sz w:val="24"/>
        </w:rPr>
        <w:t xml:space="preserve"> </w:t>
      </w:r>
      <w:r>
        <w:rPr>
          <w:rFonts w:hint="eastAsia" w:ascii="仿宋" w:hAnsi="仿宋" w:eastAsia="仿宋" w:cs="仿宋"/>
          <w:b/>
          <w:color w:val="FF0000"/>
          <w:sz w:val="24"/>
        </w:rPr>
        <w:t>———————————————</w:t>
      </w:r>
    </w:p>
    <w:p>
      <w:pPr>
        <w:spacing w:line="360" w:lineRule="auto"/>
        <w:rPr>
          <w:rFonts w:ascii="仿宋" w:hAnsi="仿宋" w:eastAsia="仿宋" w:cs="仿宋"/>
          <w:w w:val="90"/>
          <w:sz w:val="24"/>
        </w:rPr>
      </w:pPr>
    </w:p>
    <w:p>
      <w:pPr>
        <w:spacing w:line="360" w:lineRule="auto"/>
        <w:rPr>
          <w:rFonts w:ascii="仿宋" w:hAnsi="仿宋" w:eastAsia="仿宋" w:cs="仿宋"/>
          <w:w w:val="90"/>
          <w:sz w:val="24"/>
        </w:rPr>
      </w:pPr>
    </w:p>
    <w:p>
      <w:pPr>
        <w:spacing w:line="360" w:lineRule="auto"/>
        <w:rPr>
          <w:rFonts w:ascii="仿宋" w:hAnsi="仿宋" w:eastAsia="仿宋" w:cs="仿宋"/>
          <w:w w:val="90"/>
          <w:sz w:val="24"/>
        </w:rPr>
      </w:pPr>
    </w:p>
    <w:p>
      <w:pPr>
        <w:spacing w:line="360" w:lineRule="auto"/>
        <w:rPr>
          <w:rFonts w:ascii="仿宋" w:hAnsi="仿宋" w:eastAsia="仿宋" w:cs="仿宋"/>
          <w:w w:val="90"/>
          <w:sz w:val="24"/>
        </w:rPr>
      </w:pPr>
    </w:p>
    <w:p>
      <w:pPr>
        <w:spacing w:line="360" w:lineRule="auto"/>
        <w:rPr>
          <w:rFonts w:ascii="仿宋" w:hAnsi="仿宋" w:eastAsia="仿宋" w:cs="仿宋"/>
          <w:w w:val="90"/>
          <w:sz w:val="24"/>
        </w:rPr>
      </w:pPr>
    </w:p>
    <w:p>
      <w:pPr>
        <w:spacing w:line="360" w:lineRule="auto"/>
        <w:rPr>
          <w:rFonts w:ascii="仿宋" w:hAnsi="仿宋" w:eastAsia="仿宋" w:cs="仿宋"/>
          <w:w w:val="90"/>
          <w:sz w:val="24"/>
        </w:rPr>
      </w:pPr>
    </w:p>
    <w:p>
      <w:pPr>
        <w:spacing w:line="360" w:lineRule="auto"/>
        <w:jc w:val="center"/>
        <w:rPr>
          <w:rFonts w:ascii="仿宋" w:hAnsi="仿宋" w:eastAsia="仿宋" w:cs="仿宋"/>
          <w:b/>
          <w:w w:val="90"/>
          <w:sz w:val="32"/>
          <w:szCs w:val="32"/>
        </w:rPr>
      </w:pPr>
      <w:r>
        <w:rPr>
          <w:rFonts w:hint="eastAsia" w:ascii="仿宋" w:hAnsi="仿宋" w:eastAsia="仿宋" w:cs="仿宋"/>
          <w:b/>
          <w:w w:val="90"/>
          <w:sz w:val="32"/>
          <w:szCs w:val="32"/>
        </w:rPr>
        <w:t>广东乐育尚学科技有限公司个人信息安全管理规范</w:t>
      </w:r>
    </w:p>
    <w:p>
      <w:pPr>
        <w:spacing w:line="360" w:lineRule="auto"/>
        <w:jc w:val="right"/>
        <w:rPr>
          <w:rFonts w:ascii="仿宋" w:hAnsi="仿宋" w:eastAsia="仿宋" w:cs="仿宋"/>
          <w:w w:val="90"/>
          <w:sz w:val="24"/>
        </w:rPr>
      </w:pPr>
    </w:p>
    <w:p>
      <w:pPr>
        <w:spacing w:line="360" w:lineRule="auto"/>
        <w:rPr>
          <w:rFonts w:hint="eastAsia" w:ascii="仿宋" w:hAnsi="仿宋" w:eastAsia="仿宋" w:cs="仿宋"/>
          <w:b/>
          <w:bCs/>
          <w:sz w:val="24"/>
        </w:rPr>
        <w:sectPr>
          <w:headerReference r:id="rId5" w:type="first"/>
          <w:headerReference r:id="rId3" w:type="default"/>
          <w:footerReference r:id="rId6" w:type="default"/>
          <w:headerReference r:id="rId4" w:type="even"/>
          <w:footerReference r:id="rId7" w:type="even"/>
          <w:pgSz w:w="11906" w:h="16838"/>
          <w:pgMar w:top="720" w:right="720" w:bottom="720" w:left="720" w:header="851" w:footer="992" w:gutter="0"/>
          <w:cols w:space="425" w:num="1"/>
          <w:titlePg/>
          <w:docGrid w:type="lines" w:linePitch="312" w:charSpace="0"/>
        </w:sectPr>
      </w:pPr>
    </w:p>
    <w:p>
      <w:pPr>
        <w:pStyle w:val="4"/>
        <w:numPr>
          <w:ilvl w:val="0"/>
          <w:numId w:val="0"/>
        </w:numPr>
      </w:pPr>
    </w:p>
    <w:p>
      <w:pPr>
        <w:pStyle w:val="2"/>
        <w:rPr>
          <w:rFonts w:ascii="Calibri" w:hAnsi="Calibri"/>
        </w:rPr>
      </w:pPr>
      <w:r>
        <w:br w:type="page"/>
      </w:r>
    </w:p>
    <w:p>
      <w:pPr>
        <w:pStyle w:val="4"/>
        <w:numPr>
          <w:ilvl w:val="0"/>
          <w:numId w:val="0"/>
        </w:numPr>
        <w:rPr>
          <w:rFonts w:hint="eastAsia"/>
        </w:rPr>
      </w:pPr>
      <w:bookmarkStart w:id="4" w:name="_GoBack"/>
      <w:bookmarkEnd w:id="4"/>
    </w:p>
    <w:tbl>
      <w:tblPr>
        <w:tblStyle w:val="17"/>
        <w:tblpPr w:leftFromText="180" w:rightFromText="180" w:vertAnchor="text" w:tblpXSpec="center" w:tblpY="1"/>
        <w:tblOverlap w:val="never"/>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1255"/>
        <w:gridCol w:w="2516"/>
        <w:gridCol w:w="1418"/>
        <w:gridCol w:w="2126"/>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trPr>
        <w:tc>
          <w:tcPr>
            <w:tcW w:w="10031" w:type="dxa"/>
            <w:gridSpan w:val="6"/>
            <w:vAlign w:val="center"/>
          </w:tcPr>
          <w:p>
            <w:pPr>
              <w:spacing w:line="360" w:lineRule="auto"/>
              <w:jc w:val="left"/>
              <w:rPr>
                <w:rFonts w:ascii="仿宋" w:hAnsi="仿宋" w:eastAsia="仿宋" w:cs="仿宋"/>
                <w:b/>
                <w:sz w:val="28"/>
                <w:szCs w:val="28"/>
              </w:rPr>
            </w:pPr>
            <w:r>
              <w:rPr>
                <w:rFonts w:hint="eastAsia" w:ascii="仿宋" w:hAnsi="仿宋" w:eastAsia="仿宋" w:cs="仿宋"/>
                <w:b/>
                <w:sz w:val="28"/>
                <w:szCs w:val="28"/>
              </w:rPr>
              <w:t>制度基本信息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trPr>
        <w:tc>
          <w:tcPr>
            <w:tcW w:w="2128" w:type="dxa"/>
            <w:gridSpan w:val="2"/>
            <w:vAlign w:val="center"/>
          </w:tcPr>
          <w:p>
            <w:pPr>
              <w:spacing w:line="360" w:lineRule="auto"/>
              <w:jc w:val="left"/>
              <w:rPr>
                <w:rFonts w:ascii="仿宋" w:hAnsi="仿宋" w:eastAsia="仿宋" w:cs="仿宋"/>
                <w:b/>
                <w:sz w:val="28"/>
                <w:szCs w:val="28"/>
              </w:rPr>
            </w:pPr>
            <w:r>
              <w:rPr>
                <w:rFonts w:hint="eastAsia" w:ascii="仿宋" w:hAnsi="仿宋" w:eastAsia="仿宋" w:cs="仿宋"/>
                <w:b/>
                <w:sz w:val="28"/>
                <w:szCs w:val="28"/>
              </w:rPr>
              <w:t>制度名称</w:t>
            </w:r>
          </w:p>
        </w:tc>
        <w:tc>
          <w:tcPr>
            <w:tcW w:w="7903" w:type="dxa"/>
            <w:gridSpan w:val="4"/>
            <w:vAlign w:val="center"/>
          </w:tcPr>
          <w:p>
            <w:pPr>
              <w:spacing w:line="360" w:lineRule="auto"/>
              <w:jc w:val="left"/>
              <w:rPr>
                <w:rFonts w:ascii="仿宋" w:hAnsi="仿宋" w:eastAsia="仿宋" w:cs="仿宋"/>
                <w:sz w:val="28"/>
                <w:szCs w:val="28"/>
              </w:rPr>
            </w:pPr>
            <w:r>
              <w:rPr>
                <w:rFonts w:hint="eastAsia" w:ascii="仿宋" w:hAnsi="仿宋" w:eastAsia="仿宋" w:cs="仿宋"/>
                <w:sz w:val="28"/>
                <w:szCs w:val="28"/>
              </w:rPr>
              <w:t>广东乐育尚学科技有限公司个人信息安全管理规范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trPr>
        <w:tc>
          <w:tcPr>
            <w:tcW w:w="2128" w:type="dxa"/>
            <w:gridSpan w:val="2"/>
            <w:vAlign w:val="center"/>
          </w:tcPr>
          <w:p>
            <w:pPr>
              <w:spacing w:line="360" w:lineRule="auto"/>
              <w:jc w:val="left"/>
              <w:rPr>
                <w:rFonts w:ascii="仿宋" w:hAnsi="仿宋" w:eastAsia="仿宋" w:cs="仿宋"/>
                <w:b/>
                <w:sz w:val="28"/>
                <w:szCs w:val="28"/>
              </w:rPr>
            </w:pPr>
            <w:r>
              <w:rPr>
                <w:rFonts w:hint="eastAsia" w:ascii="仿宋" w:hAnsi="仿宋" w:eastAsia="仿宋" w:cs="仿宋"/>
                <w:b/>
                <w:sz w:val="28"/>
                <w:szCs w:val="28"/>
              </w:rPr>
              <w:t>制度编号</w:t>
            </w:r>
          </w:p>
        </w:tc>
        <w:tc>
          <w:tcPr>
            <w:tcW w:w="7903" w:type="dxa"/>
            <w:gridSpan w:val="4"/>
            <w:vAlign w:val="center"/>
          </w:tcPr>
          <w:p>
            <w:pPr>
              <w:spacing w:line="360" w:lineRule="auto"/>
              <w:jc w:val="left"/>
              <w:rPr>
                <w:rFonts w:ascii="仿宋" w:hAnsi="仿宋" w:eastAsia="仿宋" w:cs="仿宋"/>
                <w:sz w:val="28"/>
                <w:szCs w:val="28"/>
              </w:rPr>
            </w:pPr>
            <w:r>
              <w:rPr>
                <w:rFonts w:ascii="仿宋" w:hAnsi="仿宋" w:eastAsia="仿宋" w:cs="仿宋"/>
                <w:sz w:val="28"/>
                <w:szCs w:val="28"/>
              </w:rPr>
              <w:t>LYSX-ISMS-WI-02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trPr>
        <w:tc>
          <w:tcPr>
            <w:tcW w:w="2128" w:type="dxa"/>
            <w:gridSpan w:val="2"/>
            <w:vAlign w:val="center"/>
          </w:tcPr>
          <w:p>
            <w:pPr>
              <w:spacing w:line="360" w:lineRule="auto"/>
              <w:jc w:val="left"/>
              <w:rPr>
                <w:rFonts w:ascii="仿宋" w:hAnsi="仿宋" w:eastAsia="仿宋" w:cs="仿宋"/>
                <w:b/>
                <w:sz w:val="28"/>
                <w:szCs w:val="28"/>
              </w:rPr>
            </w:pPr>
            <w:r>
              <w:rPr>
                <w:rFonts w:hint="eastAsia" w:ascii="仿宋" w:hAnsi="仿宋" w:eastAsia="仿宋" w:cs="仿宋"/>
                <w:b/>
                <w:sz w:val="28"/>
                <w:szCs w:val="28"/>
              </w:rPr>
              <w:t>制度层级</w:t>
            </w:r>
          </w:p>
        </w:tc>
        <w:tc>
          <w:tcPr>
            <w:tcW w:w="7903" w:type="dxa"/>
            <w:gridSpan w:val="4"/>
            <w:vAlign w:val="center"/>
          </w:tcPr>
          <w:p>
            <w:pPr>
              <w:spacing w:line="360" w:lineRule="auto"/>
              <w:jc w:val="left"/>
              <w:rPr>
                <w:rFonts w:ascii="仿宋" w:hAnsi="仿宋" w:eastAsia="仿宋" w:cs="仿宋"/>
                <w:sz w:val="28"/>
                <w:szCs w:val="28"/>
              </w:rPr>
            </w:pPr>
            <w:r>
              <w:rPr>
                <w:rFonts w:ascii="仿宋" w:hAnsi="仿宋" w:eastAsia="仿宋" w:cs="仿宋"/>
                <w:sz w:val="28"/>
                <w:szCs w:val="28"/>
              </w:rPr>
              <w:t>公司级管理</w:t>
            </w:r>
            <w:r>
              <w:rPr>
                <w:rFonts w:hint="eastAsia" w:ascii="仿宋" w:hAnsi="仿宋" w:eastAsia="仿宋" w:cs="仿宋"/>
                <w:sz w:val="28"/>
                <w:szCs w:val="28"/>
              </w:rPr>
              <w:t>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trPr>
        <w:tc>
          <w:tcPr>
            <w:tcW w:w="2128" w:type="dxa"/>
            <w:gridSpan w:val="2"/>
            <w:vAlign w:val="center"/>
          </w:tcPr>
          <w:p>
            <w:pPr>
              <w:spacing w:line="360" w:lineRule="auto"/>
              <w:jc w:val="left"/>
              <w:rPr>
                <w:rFonts w:ascii="仿宋" w:hAnsi="仿宋" w:eastAsia="仿宋" w:cs="仿宋"/>
                <w:b/>
                <w:sz w:val="28"/>
                <w:szCs w:val="28"/>
              </w:rPr>
            </w:pPr>
            <w:r>
              <w:rPr>
                <w:rFonts w:hint="eastAsia" w:ascii="仿宋" w:hAnsi="仿宋" w:eastAsia="仿宋" w:cs="仿宋"/>
                <w:b/>
                <w:sz w:val="28"/>
                <w:szCs w:val="28"/>
              </w:rPr>
              <w:t>编制部门</w:t>
            </w:r>
          </w:p>
        </w:tc>
        <w:tc>
          <w:tcPr>
            <w:tcW w:w="7903" w:type="dxa"/>
            <w:gridSpan w:val="4"/>
            <w:vAlign w:val="center"/>
          </w:tcPr>
          <w:p>
            <w:pPr>
              <w:spacing w:line="360" w:lineRule="auto"/>
              <w:jc w:val="left"/>
              <w:rPr>
                <w:rFonts w:ascii="仿宋" w:hAnsi="仿宋" w:eastAsia="仿宋" w:cs="仿宋"/>
                <w:sz w:val="28"/>
                <w:szCs w:val="28"/>
              </w:rPr>
            </w:pPr>
            <w:r>
              <w:rPr>
                <w:rFonts w:ascii="仿宋" w:hAnsi="仿宋" w:eastAsia="仿宋" w:cs="仿宋"/>
                <w:sz w:val="28"/>
                <w:szCs w:val="28"/>
              </w:rPr>
              <w:t>信息安全部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9" w:hRule="atLeast"/>
        </w:trPr>
        <w:tc>
          <w:tcPr>
            <w:tcW w:w="2128" w:type="dxa"/>
            <w:gridSpan w:val="2"/>
            <w:vAlign w:val="center"/>
          </w:tcPr>
          <w:p>
            <w:pPr>
              <w:spacing w:line="360" w:lineRule="auto"/>
              <w:jc w:val="left"/>
              <w:rPr>
                <w:rFonts w:ascii="仿宋" w:hAnsi="仿宋" w:eastAsia="仿宋" w:cs="仿宋"/>
                <w:b/>
                <w:sz w:val="28"/>
                <w:szCs w:val="28"/>
              </w:rPr>
            </w:pPr>
            <w:r>
              <w:rPr>
                <w:rFonts w:hint="eastAsia" w:ascii="仿宋" w:hAnsi="仿宋" w:eastAsia="仿宋" w:cs="仿宋"/>
                <w:b/>
                <w:sz w:val="28"/>
                <w:szCs w:val="28"/>
              </w:rPr>
              <w:t>发文部门</w:t>
            </w:r>
          </w:p>
        </w:tc>
        <w:tc>
          <w:tcPr>
            <w:tcW w:w="7903" w:type="dxa"/>
            <w:gridSpan w:val="4"/>
            <w:vAlign w:val="center"/>
          </w:tcPr>
          <w:p>
            <w:pPr>
              <w:spacing w:line="360" w:lineRule="auto"/>
              <w:jc w:val="left"/>
              <w:rPr>
                <w:rFonts w:ascii="仿宋" w:hAnsi="仿宋" w:eastAsia="仿宋" w:cs="仿宋"/>
                <w:sz w:val="28"/>
                <w:szCs w:val="28"/>
              </w:rPr>
            </w:pPr>
            <w:r>
              <w:rPr>
                <w:rFonts w:hint="eastAsia" w:ascii="仿宋" w:hAnsi="仿宋" w:eastAsia="仿宋" w:cs="仿宋"/>
                <w:sz w:val="28"/>
                <w:szCs w:val="28"/>
              </w:rPr>
              <w:t>信息安全部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9" w:hRule="atLeast"/>
        </w:trPr>
        <w:tc>
          <w:tcPr>
            <w:tcW w:w="2128" w:type="dxa"/>
            <w:gridSpan w:val="2"/>
            <w:vAlign w:val="center"/>
          </w:tcPr>
          <w:p>
            <w:pPr>
              <w:spacing w:line="360" w:lineRule="auto"/>
              <w:jc w:val="left"/>
              <w:rPr>
                <w:rFonts w:ascii="仿宋" w:hAnsi="仿宋" w:eastAsia="仿宋" w:cs="仿宋"/>
                <w:b/>
                <w:sz w:val="28"/>
                <w:szCs w:val="28"/>
              </w:rPr>
            </w:pPr>
            <w:r>
              <w:rPr>
                <w:rFonts w:hint="eastAsia" w:ascii="仿宋" w:hAnsi="仿宋" w:eastAsia="仿宋" w:cs="仿宋"/>
                <w:b/>
                <w:sz w:val="28"/>
                <w:szCs w:val="28"/>
              </w:rPr>
              <w:t>密级</w:t>
            </w:r>
          </w:p>
        </w:tc>
        <w:tc>
          <w:tcPr>
            <w:tcW w:w="7903" w:type="dxa"/>
            <w:gridSpan w:val="4"/>
            <w:vAlign w:val="center"/>
          </w:tcPr>
          <w:p>
            <w:pPr>
              <w:spacing w:line="360" w:lineRule="auto"/>
              <w:jc w:val="left"/>
              <w:rPr>
                <w:rFonts w:ascii="仿宋" w:hAnsi="仿宋" w:eastAsia="仿宋" w:cs="仿宋"/>
                <w:sz w:val="28"/>
                <w:szCs w:val="28"/>
              </w:rPr>
            </w:pPr>
            <w:r>
              <w:rPr>
                <w:rFonts w:hint="eastAsia" w:ascii="仿宋" w:hAnsi="仿宋" w:eastAsia="仿宋" w:cs="仿宋"/>
                <w:sz w:val="28"/>
                <w:szCs w:val="28"/>
              </w:rPr>
              <w:t>□外部公开</w:t>
            </w:r>
            <w:r>
              <w:rPr>
                <w:rFonts w:ascii="仿宋" w:hAnsi="仿宋" w:eastAsia="仿宋" w:cs="仿宋"/>
                <w:sz w:val="28"/>
                <w:szCs w:val="28"/>
              </w:rPr>
              <w:t xml:space="preserve"> </w:t>
            </w:r>
            <w:r>
              <w:rPr>
                <w:rFonts w:hint="eastAsia" w:ascii="仿宋" w:hAnsi="仿宋" w:eastAsia="仿宋" w:cs="仿宋"/>
                <w:sz w:val="28"/>
                <w:szCs w:val="28"/>
              </w:rPr>
              <w:t>■内部公开</w:t>
            </w:r>
            <w:r>
              <w:rPr>
                <w:rFonts w:ascii="仿宋" w:hAnsi="仿宋" w:eastAsia="仿宋" w:cs="仿宋"/>
                <w:sz w:val="28"/>
                <w:szCs w:val="28"/>
              </w:rPr>
              <w:t xml:space="preserve"> </w:t>
            </w:r>
            <w:r>
              <w:rPr>
                <w:rFonts w:hint="eastAsia" w:ascii="仿宋" w:hAnsi="仿宋" w:eastAsia="仿宋" w:cs="仿宋"/>
                <w:sz w:val="28"/>
                <w:szCs w:val="28"/>
              </w:rPr>
              <w:t>□秘密</w:t>
            </w:r>
            <w:r>
              <w:rPr>
                <w:rFonts w:ascii="仿宋" w:hAnsi="仿宋" w:eastAsia="仿宋" w:cs="仿宋"/>
                <w:sz w:val="28"/>
                <w:szCs w:val="28"/>
              </w:rPr>
              <w:t xml:space="preserve"> </w:t>
            </w:r>
            <w:r>
              <w:rPr>
                <w:rFonts w:hint="eastAsia" w:ascii="仿宋" w:hAnsi="仿宋" w:eastAsia="仿宋" w:cs="仿宋"/>
                <w:sz w:val="28"/>
                <w:szCs w:val="28"/>
              </w:rPr>
              <w:t>□机密</w:t>
            </w:r>
            <w:r>
              <w:rPr>
                <w:rFonts w:ascii="仿宋" w:hAnsi="仿宋" w:eastAsia="仿宋" w:cs="仿宋"/>
                <w:sz w:val="28"/>
                <w:szCs w:val="28"/>
              </w:rPr>
              <w:t xml:space="preserve"> </w:t>
            </w:r>
            <w:r>
              <w:rPr>
                <w:rFonts w:hint="eastAsia" w:ascii="仿宋" w:hAnsi="仿宋" w:eastAsia="仿宋" w:cs="仿宋"/>
                <w:sz w:val="28"/>
                <w:szCs w:val="28"/>
              </w:rPr>
              <w:t>□绝密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3" w:hRule="atLeast"/>
        </w:trPr>
        <w:tc>
          <w:tcPr>
            <w:tcW w:w="10031" w:type="dxa"/>
            <w:gridSpan w:val="6"/>
            <w:vAlign w:val="center"/>
          </w:tcPr>
          <w:p>
            <w:pPr>
              <w:spacing w:line="360" w:lineRule="auto"/>
              <w:jc w:val="left"/>
              <w:rPr>
                <w:rFonts w:ascii="仿宋" w:hAnsi="仿宋" w:eastAsia="仿宋" w:cs="仿宋"/>
                <w:b/>
                <w:sz w:val="28"/>
                <w:szCs w:val="28"/>
              </w:rPr>
            </w:pPr>
            <w:r>
              <w:rPr>
                <w:rFonts w:hint="eastAsia" w:ascii="仿宋" w:hAnsi="仿宋" w:eastAsia="仿宋" w:cs="仿宋"/>
                <w:b/>
                <w:sz w:val="28"/>
                <w:szCs w:val="28"/>
              </w:rPr>
              <w:t>修订历史记录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9" w:hRule="atLeast"/>
        </w:trPr>
        <w:tc>
          <w:tcPr>
            <w:tcW w:w="8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b/>
                <w:sz w:val="28"/>
                <w:szCs w:val="28"/>
              </w:rPr>
            </w:pPr>
            <w:r>
              <w:rPr>
                <w:rFonts w:hint="eastAsia" w:ascii="仿宋" w:hAnsi="仿宋" w:eastAsia="仿宋" w:cs="仿宋"/>
                <w:b/>
                <w:sz w:val="28"/>
                <w:szCs w:val="28"/>
              </w:rPr>
              <w:t>版本</w:t>
            </w:r>
          </w:p>
        </w:tc>
        <w:tc>
          <w:tcPr>
            <w:tcW w:w="1255"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b/>
                <w:sz w:val="28"/>
                <w:szCs w:val="28"/>
              </w:rPr>
            </w:pPr>
            <w:r>
              <w:rPr>
                <w:rFonts w:hint="eastAsia" w:ascii="仿宋" w:hAnsi="仿宋" w:eastAsia="仿宋" w:cs="仿宋"/>
                <w:b/>
                <w:sz w:val="28"/>
                <w:szCs w:val="28"/>
              </w:rPr>
              <w:t>状态</w:t>
            </w:r>
          </w:p>
        </w:tc>
        <w:tc>
          <w:tcPr>
            <w:tcW w:w="2516"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b/>
                <w:sz w:val="28"/>
                <w:szCs w:val="28"/>
              </w:rPr>
            </w:pPr>
            <w:r>
              <w:rPr>
                <w:rFonts w:hint="eastAsia" w:ascii="仿宋" w:hAnsi="仿宋" w:eastAsia="仿宋" w:cs="仿宋"/>
                <w:b/>
                <w:sz w:val="28"/>
                <w:szCs w:val="28"/>
              </w:rPr>
              <w:t>修订内容说明</w:t>
            </w:r>
          </w:p>
        </w:tc>
        <w:tc>
          <w:tcPr>
            <w:tcW w:w="1418"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b/>
                <w:sz w:val="28"/>
                <w:szCs w:val="28"/>
              </w:rPr>
            </w:pPr>
            <w:r>
              <w:rPr>
                <w:rFonts w:hint="eastAsia" w:ascii="仿宋" w:hAnsi="仿宋" w:eastAsia="仿宋" w:cs="仿宋"/>
                <w:b/>
                <w:sz w:val="28"/>
                <w:szCs w:val="28"/>
              </w:rPr>
              <w:t>编制人</w:t>
            </w:r>
          </w:p>
        </w:tc>
        <w:tc>
          <w:tcPr>
            <w:tcW w:w="2126"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b/>
                <w:sz w:val="28"/>
                <w:szCs w:val="28"/>
              </w:rPr>
            </w:pPr>
            <w:r>
              <w:rPr>
                <w:rFonts w:hint="eastAsia" w:ascii="仿宋" w:hAnsi="仿宋" w:eastAsia="仿宋" w:cs="仿宋"/>
                <w:b/>
                <w:sz w:val="28"/>
                <w:szCs w:val="28"/>
              </w:rPr>
              <w:t>修订日期</w:t>
            </w:r>
          </w:p>
        </w:tc>
        <w:tc>
          <w:tcPr>
            <w:tcW w:w="1843" w:type="dxa"/>
            <w:tcBorders>
              <w:top w:val="single" w:color="auto" w:sz="4" w:space="0"/>
              <w:left w:val="nil"/>
              <w:bottom w:val="single" w:color="auto" w:sz="4" w:space="0"/>
              <w:right w:val="single" w:color="auto" w:sz="4" w:space="0"/>
            </w:tcBorders>
          </w:tcPr>
          <w:p>
            <w:pPr>
              <w:spacing w:line="360" w:lineRule="auto"/>
              <w:jc w:val="center"/>
              <w:rPr>
                <w:rFonts w:ascii="仿宋" w:hAnsi="仿宋" w:eastAsia="仿宋" w:cs="仿宋"/>
                <w:b/>
                <w:sz w:val="28"/>
                <w:szCs w:val="28"/>
              </w:rPr>
            </w:pPr>
            <w:r>
              <w:rPr>
                <w:rFonts w:hint="eastAsia" w:ascii="仿宋" w:hAnsi="仿宋" w:eastAsia="仿宋" w:cs="仿宋"/>
                <w:b/>
                <w:sz w:val="28"/>
                <w:szCs w:val="28"/>
              </w:rPr>
              <w:t>发布日期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9" w:hRule="atLeast"/>
        </w:trPr>
        <w:tc>
          <w:tcPr>
            <w:tcW w:w="873" w:type="dxa"/>
            <w:tcBorders>
              <w:top w:val="nil"/>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ascii="仿宋" w:hAnsi="仿宋" w:eastAsia="仿宋" w:cs="仿宋"/>
                <w:sz w:val="28"/>
                <w:szCs w:val="28"/>
              </w:rPr>
              <w:t>V1.0</w:t>
            </w:r>
          </w:p>
        </w:tc>
        <w:tc>
          <w:tcPr>
            <w:tcW w:w="1255"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新建</w:t>
            </w:r>
          </w:p>
        </w:tc>
        <w:tc>
          <w:tcPr>
            <w:tcW w:w="2516" w:type="dxa"/>
            <w:tcBorders>
              <w:top w:val="nil"/>
              <w:left w:val="nil"/>
              <w:bottom w:val="single" w:color="auto" w:sz="4" w:space="0"/>
              <w:right w:val="single" w:color="auto" w:sz="4" w:space="0"/>
            </w:tcBorders>
            <w:vAlign w:val="center"/>
          </w:tcPr>
          <w:p>
            <w:pPr>
              <w:spacing w:line="360" w:lineRule="auto"/>
              <w:jc w:val="left"/>
              <w:rPr>
                <w:rFonts w:ascii="仿宋" w:hAnsi="仿宋" w:eastAsia="仿宋" w:cs="仿宋"/>
                <w:sz w:val="28"/>
                <w:szCs w:val="28"/>
              </w:rPr>
            </w:pPr>
          </w:p>
        </w:tc>
        <w:tc>
          <w:tcPr>
            <w:tcW w:w="1418"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2126"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ascii="仿宋" w:hAnsi="仿宋" w:eastAsia="仿宋" w:cs="仿宋"/>
                <w:sz w:val="28"/>
                <w:szCs w:val="28"/>
              </w:rPr>
              <w:t>202</w:t>
            </w:r>
            <w:r>
              <w:rPr>
                <w:rFonts w:hint="eastAsia" w:ascii="仿宋" w:hAnsi="仿宋" w:eastAsia="仿宋" w:cs="仿宋"/>
                <w:sz w:val="28"/>
                <w:szCs w:val="28"/>
              </w:rPr>
              <w:t>3</w:t>
            </w:r>
            <w:r>
              <w:rPr>
                <w:rFonts w:ascii="仿宋" w:hAnsi="仿宋" w:eastAsia="仿宋" w:cs="仿宋"/>
                <w:sz w:val="28"/>
                <w:szCs w:val="28"/>
              </w:rPr>
              <w:t>-1</w:t>
            </w:r>
            <w:r>
              <w:rPr>
                <w:rFonts w:hint="eastAsia" w:ascii="仿宋" w:hAnsi="仿宋" w:eastAsia="仿宋" w:cs="仿宋"/>
                <w:sz w:val="28"/>
                <w:szCs w:val="28"/>
              </w:rPr>
              <w:t>0</w:t>
            </w:r>
          </w:p>
        </w:tc>
        <w:tc>
          <w:tcPr>
            <w:tcW w:w="1843" w:type="dxa"/>
            <w:tcBorders>
              <w:top w:val="nil"/>
              <w:left w:val="nil"/>
              <w:bottom w:val="single" w:color="auto" w:sz="4" w:space="0"/>
              <w:right w:val="single" w:color="auto" w:sz="4" w:space="0"/>
            </w:tcBorders>
          </w:tcPr>
          <w:p>
            <w:pPr>
              <w:spacing w:line="360" w:lineRule="auto"/>
              <w:jc w:val="center"/>
              <w:rPr>
                <w:rFonts w:ascii="仿宋" w:hAnsi="仿宋" w:eastAsia="仿宋" w:cs="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9" w:hRule="atLeast"/>
        </w:trPr>
        <w:tc>
          <w:tcPr>
            <w:tcW w:w="873" w:type="dxa"/>
            <w:tcBorders>
              <w:top w:val="nil"/>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1255"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2516" w:type="dxa"/>
            <w:tcBorders>
              <w:top w:val="nil"/>
              <w:left w:val="nil"/>
              <w:bottom w:val="single" w:color="auto" w:sz="4" w:space="0"/>
              <w:right w:val="single" w:color="auto" w:sz="4" w:space="0"/>
            </w:tcBorders>
            <w:vAlign w:val="center"/>
          </w:tcPr>
          <w:p>
            <w:pPr>
              <w:spacing w:line="360" w:lineRule="auto"/>
              <w:jc w:val="left"/>
              <w:rPr>
                <w:rFonts w:ascii="仿宋" w:hAnsi="仿宋" w:eastAsia="仿宋" w:cs="仿宋"/>
                <w:sz w:val="28"/>
                <w:szCs w:val="28"/>
              </w:rPr>
            </w:pPr>
          </w:p>
        </w:tc>
        <w:tc>
          <w:tcPr>
            <w:tcW w:w="1418"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2126"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1843" w:type="dxa"/>
            <w:tcBorders>
              <w:top w:val="nil"/>
              <w:left w:val="nil"/>
              <w:bottom w:val="single" w:color="auto" w:sz="4" w:space="0"/>
              <w:right w:val="single" w:color="auto" w:sz="4" w:space="0"/>
            </w:tcBorders>
          </w:tcPr>
          <w:p>
            <w:pPr>
              <w:spacing w:line="360" w:lineRule="auto"/>
              <w:jc w:val="center"/>
              <w:rPr>
                <w:rFonts w:ascii="仿宋" w:hAnsi="仿宋" w:eastAsia="仿宋" w:cs="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9" w:hRule="atLeast"/>
        </w:trPr>
        <w:tc>
          <w:tcPr>
            <w:tcW w:w="873" w:type="dxa"/>
            <w:tcBorders>
              <w:top w:val="nil"/>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1255"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2516" w:type="dxa"/>
            <w:tcBorders>
              <w:top w:val="nil"/>
              <w:left w:val="nil"/>
              <w:bottom w:val="single" w:color="auto" w:sz="4" w:space="0"/>
              <w:right w:val="single" w:color="auto" w:sz="4" w:space="0"/>
            </w:tcBorders>
            <w:vAlign w:val="center"/>
          </w:tcPr>
          <w:p>
            <w:pPr>
              <w:spacing w:line="360" w:lineRule="auto"/>
              <w:jc w:val="left"/>
              <w:rPr>
                <w:rFonts w:ascii="仿宋" w:hAnsi="仿宋" w:eastAsia="仿宋" w:cs="仿宋"/>
                <w:sz w:val="28"/>
                <w:szCs w:val="28"/>
              </w:rPr>
            </w:pPr>
          </w:p>
        </w:tc>
        <w:tc>
          <w:tcPr>
            <w:tcW w:w="1418"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2126"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1843" w:type="dxa"/>
            <w:tcBorders>
              <w:top w:val="nil"/>
              <w:left w:val="nil"/>
              <w:bottom w:val="single" w:color="auto" w:sz="4" w:space="0"/>
              <w:right w:val="single" w:color="auto" w:sz="4" w:space="0"/>
            </w:tcBorders>
          </w:tcPr>
          <w:p>
            <w:pPr>
              <w:spacing w:line="360" w:lineRule="auto"/>
              <w:jc w:val="center"/>
              <w:rPr>
                <w:rFonts w:ascii="仿宋" w:hAnsi="仿宋" w:eastAsia="仿宋" w:cs="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9" w:hRule="atLeast"/>
        </w:trPr>
        <w:tc>
          <w:tcPr>
            <w:tcW w:w="873" w:type="dxa"/>
            <w:tcBorders>
              <w:top w:val="nil"/>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1255"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2516" w:type="dxa"/>
            <w:tcBorders>
              <w:top w:val="nil"/>
              <w:left w:val="nil"/>
              <w:bottom w:val="single" w:color="auto" w:sz="4" w:space="0"/>
              <w:right w:val="single" w:color="auto" w:sz="4" w:space="0"/>
            </w:tcBorders>
            <w:vAlign w:val="center"/>
          </w:tcPr>
          <w:p>
            <w:pPr>
              <w:spacing w:line="360" w:lineRule="auto"/>
              <w:jc w:val="left"/>
              <w:rPr>
                <w:rFonts w:ascii="仿宋" w:hAnsi="仿宋" w:eastAsia="仿宋" w:cs="仿宋"/>
                <w:sz w:val="28"/>
                <w:szCs w:val="28"/>
              </w:rPr>
            </w:pPr>
          </w:p>
        </w:tc>
        <w:tc>
          <w:tcPr>
            <w:tcW w:w="1418"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2126"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cs="仿宋"/>
                <w:sz w:val="28"/>
                <w:szCs w:val="28"/>
              </w:rPr>
            </w:pPr>
          </w:p>
        </w:tc>
        <w:tc>
          <w:tcPr>
            <w:tcW w:w="1843" w:type="dxa"/>
            <w:tcBorders>
              <w:top w:val="nil"/>
              <w:left w:val="nil"/>
              <w:bottom w:val="single" w:color="auto" w:sz="4" w:space="0"/>
              <w:right w:val="single" w:color="auto" w:sz="4" w:space="0"/>
            </w:tcBorders>
          </w:tcPr>
          <w:p>
            <w:pPr>
              <w:spacing w:line="360" w:lineRule="auto"/>
              <w:jc w:val="center"/>
              <w:rPr>
                <w:rFonts w:ascii="仿宋" w:hAnsi="仿宋" w:eastAsia="仿宋" w:cs="仿宋"/>
                <w:sz w:val="28"/>
                <w:szCs w:val="28"/>
              </w:rPr>
            </w:pPr>
          </w:p>
        </w:tc>
      </w:tr>
    </w:tbl>
    <w:p>
      <w:pPr>
        <w:widowControl/>
        <w:spacing w:line="360" w:lineRule="auto"/>
        <w:jc w:val="center"/>
        <w:rPr>
          <w:rFonts w:ascii="仿宋" w:hAnsi="仿宋" w:eastAsia="仿宋" w:cs="仿宋"/>
          <w:b/>
          <w:color w:val="000000"/>
          <w:kern w:val="0"/>
          <w:sz w:val="24"/>
          <w:lang w:bidi="ar"/>
        </w:rPr>
      </w:pPr>
      <w:r>
        <w:rPr>
          <w:rFonts w:ascii="仿宋" w:hAnsi="仿宋" w:eastAsia="仿宋" w:cs="仿宋"/>
          <w:b/>
          <w:color w:val="000000"/>
          <w:kern w:val="0"/>
          <w:sz w:val="24"/>
          <w:lang w:bidi="ar"/>
        </w:rPr>
        <w:br w:type="textWrapping" w:clear="all"/>
      </w:r>
    </w:p>
    <w:p>
      <w:pPr>
        <w:widowControl/>
        <w:spacing w:line="360" w:lineRule="auto"/>
        <w:jc w:val="center"/>
        <w:rPr>
          <w:rFonts w:ascii="仿宋" w:hAnsi="仿宋" w:eastAsia="仿宋" w:cs="仿宋"/>
          <w:b/>
          <w:color w:val="000000"/>
          <w:kern w:val="0"/>
          <w:sz w:val="24"/>
          <w:lang w:bidi="ar"/>
        </w:rPr>
      </w:pPr>
    </w:p>
    <w:p>
      <w:pPr>
        <w:widowControl/>
        <w:spacing w:line="360" w:lineRule="auto"/>
        <w:jc w:val="center"/>
        <w:rPr>
          <w:rFonts w:ascii="仿宋" w:hAnsi="仿宋" w:eastAsia="仿宋" w:cs="仿宋"/>
          <w:b/>
          <w:color w:val="000000"/>
          <w:kern w:val="0"/>
          <w:sz w:val="24"/>
          <w:lang w:bidi="ar"/>
        </w:rPr>
      </w:pPr>
    </w:p>
    <w:p>
      <w:pPr>
        <w:widowControl/>
        <w:spacing w:line="360" w:lineRule="auto"/>
        <w:jc w:val="center"/>
        <w:rPr>
          <w:rFonts w:ascii="仿宋" w:hAnsi="仿宋" w:eastAsia="仿宋" w:cs="仿宋"/>
          <w:b/>
          <w:color w:val="000000"/>
          <w:kern w:val="0"/>
          <w:sz w:val="24"/>
          <w:lang w:bidi="ar"/>
        </w:rPr>
      </w:pPr>
    </w:p>
    <w:p>
      <w:pPr>
        <w:widowControl/>
        <w:spacing w:line="360" w:lineRule="auto"/>
        <w:jc w:val="center"/>
        <w:rPr>
          <w:rFonts w:ascii="仿宋" w:hAnsi="仿宋" w:eastAsia="仿宋" w:cs="仿宋"/>
          <w:b/>
          <w:color w:val="000000"/>
          <w:kern w:val="0"/>
          <w:sz w:val="24"/>
          <w:lang w:bidi="ar"/>
        </w:rPr>
      </w:pPr>
    </w:p>
    <w:p>
      <w:pPr>
        <w:widowControl/>
        <w:spacing w:line="360" w:lineRule="auto"/>
        <w:jc w:val="center"/>
        <w:rPr>
          <w:rFonts w:ascii="仿宋" w:hAnsi="仿宋" w:eastAsia="仿宋" w:cs="仿宋"/>
          <w:b/>
          <w:color w:val="000000"/>
          <w:kern w:val="0"/>
          <w:sz w:val="24"/>
          <w:lang w:bidi="ar"/>
        </w:rPr>
      </w:pPr>
    </w:p>
    <w:p>
      <w:pPr>
        <w:widowControl/>
        <w:spacing w:line="360" w:lineRule="auto"/>
        <w:rPr>
          <w:rFonts w:ascii="仿宋" w:hAnsi="仿宋" w:eastAsia="仿宋" w:cs="仿宋"/>
          <w:b/>
          <w:color w:val="000000"/>
          <w:kern w:val="0"/>
          <w:sz w:val="24"/>
          <w:lang w:bidi="ar"/>
        </w:rPr>
      </w:pPr>
    </w:p>
    <w:p>
      <w:pPr>
        <w:widowControl/>
        <w:spacing w:line="360" w:lineRule="auto"/>
        <w:jc w:val="center"/>
        <w:rPr>
          <w:rFonts w:ascii="仿宋" w:hAnsi="仿宋" w:eastAsia="仿宋" w:cs="仿宋"/>
          <w:b/>
          <w:color w:val="000000"/>
          <w:kern w:val="0"/>
          <w:sz w:val="24"/>
          <w:lang w:bidi="ar"/>
        </w:rPr>
        <w:sectPr>
          <w:headerReference r:id="rId8" w:type="first"/>
          <w:pgSz w:w="11906" w:h="16838"/>
          <w:pgMar w:top="720" w:right="720" w:bottom="720" w:left="720" w:header="851" w:footer="992" w:gutter="0"/>
          <w:pgNumType w:start="1"/>
          <w:cols w:space="425" w:num="1"/>
          <w:docGrid w:type="lines" w:linePitch="312" w:charSpace="0"/>
        </w:sectPr>
      </w:pPr>
    </w:p>
    <w:p>
      <w:pPr>
        <w:pStyle w:val="5"/>
        <w:numPr>
          <w:ilvl w:val="0"/>
          <w:numId w:val="3"/>
        </w:numPr>
        <w:jc w:val="center"/>
        <w:rPr>
          <w:rFonts w:hint="default" w:ascii="仿宋" w:hAnsi="仿宋" w:eastAsia="仿宋"/>
          <w:sz w:val="28"/>
          <w:szCs w:val="28"/>
        </w:rPr>
      </w:pPr>
      <w:r>
        <w:rPr>
          <w:rFonts w:ascii="仿宋" w:hAnsi="仿宋" w:eastAsia="仿宋"/>
          <w:sz w:val="28"/>
          <w:szCs w:val="28"/>
        </w:rPr>
        <w:t>总则</w:t>
      </w:r>
      <w:r>
        <w:rPr>
          <w:rFonts w:hint="default" w:ascii="仿宋" w:hAnsi="仿宋" w:eastAsia="仿宋"/>
          <w:sz w:val="28"/>
          <w:szCs w:val="28"/>
        </w:rPr>
        <w:t xml:space="preserve"> </w:t>
      </w:r>
    </w:p>
    <w:p>
      <w:pPr>
        <w:pStyle w:val="28"/>
        <w:ind w:left="0"/>
        <w:rPr>
          <w:rFonts w:ascii="仿宋" w:hAnsi="仿宋" w:cs="仿宋"/>
          <w:sz w:val="24"/>
          <w:szCs w:val="24"/>
        </w:rPr>
      </w:pPr>
      <w:r>
        <w:rPr>
          <w:rFonts w:hint="eastAsia" w:ascii="仿宋" w:hAnsi="仿宋" w:cs="仿宋"/>
          <w:sz w:val="24"/>
          <w:szCs w:val="24"/>
        </w:rPr>
        <w:t>为加强和完善公司的个人信息安全管理，提高个人信息安全保障能力，满足国家、行业的个人信息安全相关法律、行政法规、标准以及公司的个人信息安全管理需求，避免公司用户及员工个人信息未经授权的访问以及个人信息被篡改、被泄露、丢失或非法利用等，确保个人信息的保密性、完整性和可靠性，切实维护公司个人信息安全的发展利益，特制定本制度。</w:t>
      </w:r>
    </w:p>
    <w:p>
      <w:pPr>
        <w:pStyle w:val="5"/>
        <w:numPr>
          <w:ilvl w:val="0"/>
          <w:numId w:val="3"/>
        </w:numPr>
        <w:jc w:val="center"/>
        <w:rPr>
          <w:rFonts w:hint="default" w:ascii="仿宋" w:hAnsi="仿宋" w:eastAsia="仿宋"/>
          <w:sz w:val="28"/>
          <w:szCs w:val="28"/>
        </w:rPr>
      </w:pPr>
      <w:r>
        <w:rPr>
          <w:rFonts w:ascii="仿宋" w:hAnsi="仿宋" w:eastAsia="仿宋"/>
          <w:sz w:val="28"/>
          <w:szCs w:val="28"/>
        </w:rPr>
        <w:t>目的</w:t>
      </w:r>
    </w:p>
    <w:p>
      <w:pPr>
        <w:pStyle w:val="28"/>
        <w:ind w:left="0"/>
        <w:rPr>
          <w:sz w:val="24"/>
          <w:szCs w:val="24"/>
        </w:rPr>
      </w:pPr>
      <w:r>
        <w:rPr>
          <w:sz w:val="24"/>
          <w:szCs w:val="24"/>
        </w:rPr>
        <w:t>本制度旨在规范</w:t>
      </w:r>
      <w:r>
        <w:rPr>
          <w:rFonts w:hint="eastAsia"/>
          <w:sz w:val="24"/>
          <w:szCs w:val="24"/>
        </w:rPr>
        <w:t>广东乐育尚学科技有限公司个人</w:t>
      </w:r>
      <w:r>
        <w:rPr>
          <w:sz w:val="24"/>
          <w:szCs w:val="24"/>
        </w:rPr>
        <w:t>信息安全管理的基本思路</w:t>
      </w:r>
      <w:r>
        <w:rPr>
          <w:rFonts w:hint="eastAsia"/>
          <w:sz w:val="24"/>
          <w:szCs w:val="24"/>
        </w:rPr>
        <w:t>、</w:t>
      </w:r>
      <w:r>
        <w:rPr>
          <w:sz w:val="24"/>
          <w:szCs w:val="24"/>
        </w:rPr>
        <w:t>数据分类分级管理</w:t>
      </w:r>
      <w:r>
        <w:rPr>
          <w:rFonts w:hint="eastAsia"/>
          <w:sz w:val="24"/>
          <w:szCs w:val="24"/>
        </w:rPr>
        <w:t>，</w:t>
      </w:r>
      <w:r>
        <w:rPr>
          <w:sz w:val="24"/>
          <w:szCs w:val="24"/>
        </w:rPr>
        <w:t>以及数据生存周期中各环节</w:t>
      </w:r>
      <w:r>
        <w:rPr>
          <w:rFonts w:hint="eastAsia"/>
          <w:sz w:val="24"/>
          <w:szCs w:val="24"/>
        </w:rPr>
        <w:t>的个人信息数据</w:t>
      </w:r>
      <w:r>
        <w:rPr>
          <w:sz w:val="24"/>
          <w:szCs w:val="24"/>
        </w:rPr>
        <w:t>安全管控</w:t>
      </w:r>
      <w:r>
        <w:rPr>
          <w:rFonts w:hint="eastAsia"/>
          <w:sz w:val="24"/>
          <w:szCs w:val="24"/>
        </w:rPr>
        <w:t>，清晰、明确地提出个人信息安全的管理与技术要求，为合法、正当、安全、必要和诚信地进行个人信息数据处理活动，提供原则性指导和规则性指引。</w:t>
      </w:r>
    </w:p>
    <w:p>
      <w:pPr>
        <w:pStyle w:val="28"/>
        <w:ind w:left="0"/>
        <w:rPr>
          <w:sz w:val="24"/>
          <w:szCs w:val="24"/>
        </w:rPr>
      </w:pPr>
      <w:r>
        <w:rPr>
          <w:rFonts w:hint="eastAsia"/>
          <w:sz w:val="24"/>
        </w:rPr>
        <w:t>本制度将作为公司个人信息安全管理的策略性文件，指导公司个人信息安全管控的运营和实施工作。</w:t>
      </w:r>
    </w:p>
    <w:p>
      <w:pPr>
        <w:pStyle w:val="5"/>
        <w:numPr>
          <w:ilvl w:val="0"/>
          <w:numId w:val="3"/>
        </w:numPr>
        <w:jc w:val="center"/>
        <w:rPr>
          <w:rFonts w:hint="default" w:ascii="仿宋" w:hAnsi="仿宋" w:eastAsia="仿宋"/>
          <w:sz w:val="28"/>
          <w:szCs w:val="28"/>
        </w:rPr>
      </w:pPr>
      <w:r>
        <w:rPr>
          <w:rFonts w:ascii="仿宋" w:hAnsi="仿宋" w:eastAsia="仿宋"/>
          <w:sz w:val="28"/>
          <w:szCs w:val="28"/>
        </w:rPr>
        <w:t>适用范围</w:t>
      </w:r>
    </w:p>
    <w:p>
      <w:pPr>
        <w:pStyle w:val="28"/>
        <w:ind w:left="0"/>
        <w:rPr>
          <w:rFonts w:ascii="仿宋" w:hAnsi="仿宋" w:cs="仿宋"/>
          <w:sz w:val="24"/>
        </w:rPr>
      </w:pPr>
      <w:r>
        <w:rPr>
          <w:rFonts w:hint="eastAsia" w:ascii="仿宋" w:hAnsi="仿宋" w:cs="仿宋"/>
          <w:sz w:val="24"/>
        </w:rPr>
        <w:t>本制度适用于广东乐育尚学科技有限公司本部及所属分、子公司。</w:t>
      </w:r>
    </w:p>
    <w:p>
      <w:pPr>
        <w:pStyle w:val="5"/>
        <w:numPr>
          <w:ilvl w:val="0"/>
          <w:numId w:val="3"/>
        </w:numPr>
        <w:jc w:val="center"/>
        <w:rPr>
          <w:rFonts w:hint="default" w:ascii="仿宋" w:hAnsi="仿宋" w:eastAsia="仿宋"/>
          <w:sz w:val="28"/>
          <w:szCs w:val="28"/>
        </w:rPr>
      </w:pPr>
      <w:r>
        <w:rPr>
          <w:rFonts w:ascii="仿宋" w:hAnsi="仿宋" w:eastAsia="仿宋"/>
          <w:sz w:val="28"/>
          <w:szCs w:val="28"/>
        </w:rPr>
        <w:t>术语和定义</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 xml:space="preserve"> 数据</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任何以电子或其他方式对信息的记录（定义来源</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中华人民共和国数据安全法》）</w:t>
      </w:r>
      <w:r>
        <w:rPr>
          <w:rFonts w:hint="eastAsia" w:ascii="仿宋" w:hAnsi="仿宋" w:eastAsia="仿宋" w:cs="仿宋"/>
          <w:color w:val="000000"/>
          <w:kern w:val="0"/>
          <w:sz w:val="24"/>
          <w:lang w:bidi="ar"/>
        </w:rPr>
        <w:t>。</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数据安全</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通过管理和技术措施，确保数据有效保护和合规使用的状态（</w:t>
      </w:r>
      <w:r>
        <w:rPr>
          <w:rFonts w:ascii="仿宋" w:hAnsi="仿宋" w:eastAsia="仿宋" w:cs="仿宋"/>
          <w:color w:val="000000"/>
          <w:kern w:val="0"/>
          <w:sz w:val="24"/>
          <w:lang w:bidi="ar"/>
        </w:rPr>
        <w:t>定义来源</w:t>
      </w:r>
      <w:r>
        <w:rPr>
          <w:rFonts w:ascii="仿宋" w:hAnsi="仿宋" w:eastAsia="仿宋" w:cs="仿宋"/>
          <w:sz w:val="24"/>
        </w:rPr>
        <w:t>[</w:t>
      </w:r>
      <w:r>
        <w:rPr>
          <w:rFonts w:ascii="仿宋" w:hAnsi="仿宋" w:eastAsia="仿宋" w:cs="仿宋"/>
          <w:color w:val="000000"/>
          <w:kern w:val="0"/>
          <w:sz w:val="24"/>
          <w:lang w:bidi="ar"/>
        </w:rPr>
        <w:t>GB/T 37988-2019]）。</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保密性（</w:t>
      </w:r>
      <w:r>
        <w:rPr>
          <w:rFonts w:ascii="仿宋" w:hAnsi="仿宋" w:eastAsia="仿宋" w:cs="仿宋"/>
          <w:sz w:val="24"/>
        </w:rPr>
        <w:t>Confidentiality</w:t>
      </w:r>
      <w:r>
        <w:rPr>
          <w:rFonts w:hint="eastAsia" w:ascii="仿宋" w:hAnsi="仿宋" w:eastAsia="仿宋" w:cs="仿宋"/>
          <w:sz w:val="24"/>
        </w:rPr>
        <w:t>）</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使用信息不泄露给未授权的个人、实体、进程，或不被其利用的特性（</w:t>
      </w:r>
      <w:r>
        <w:rPr>
          <w:rFonts w:ascii="仿宋" w:hAnsi="仿宋" w:eastAsia="仿宋" w:cs="仿宋"/>
          <w:color w:val="000000"/>
          <w:kern w:val="0"/>
          <w:sz w:val="24"/>
          <w:lang w:bidi="ar"/>
        </w:rPr>
        <w:t>定义来源[GB/T 25069-2010,定义2.1.1]）。</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完整性（</w:t>
      </w:r>
      <w:r>
        <w:rPr>
          <w:rFonts w:ascii="仿宋" w:hAnsi="仿宋" w:eastAsia="仿宋" w:cs="仿宋"/>
          <w:sz w:val="24"/>
        </w:rPr>
        <w:t>Integrity</w:t>
      </w:r>
      <w:r>
        <w:rPr>
          <w:rFonts w:hint="eastAsia" w:ascii="仿宋" w:hAnsi="仿宋" w:eastAsia="仿宋" w:cs="仿宋"/>
          <w:sz w:val="24"/>
        </w:rPr>
        <w:t>）</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数据完整性旨在维护和保证数据在其整个生命周期中的准确性和一致性（</w:t>
      </w:r>
      <w:r>
        <w:rPr>
          <w:rFonts w:ascii="仿宋" w:hAnsi="仿宋" w:eastAsia="仿宋" w:cs="仿宋"/>
          <w:color w:val="000000"/>
          <w:kern w:val="0"/>
          <w:sz w:val="24"/>
          <w:lang w:bidi="ar"/>
        </w:rPr>
        <w:t>定义来源[GB/T 29246-2017</w:t>
      </w:r>
      <w:r>
        <w:rPr>
          <w:rFonts w:hint="eastAsia" w:ascii="仿宋" w:hAnsi="仿宋" w:eastAsia="仿宋" w:cs="仿宋"/>
          <w:color w:val="000000"/>
          <w:kern w:val="0"/>
          <w:sz w:val="24"/>
          <w:lang w:bidi="ar"/>
        </w:rPr>
        <w:t>，定义</w:t>
      </w:r>
      <w:r>
        <w:rPr>
          <w:rFonts w:ascii="仿宋" w:hAnsi="仿宋" w:eastAsia="仿宋" w:cs="仿宋"/>
          <w:color w:val="000000"/>
          <w:kern w:val="0"/>
          <w:sz w:val="24"/>
          <w:lang w:bidi="ar"/>
        </w:rPr>
        <w:t>2.40]、[大数据安全标准化白皮书]）。</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可用性（</w:t>
      </w:r>
      <w:r>
        <w:rPr>
          <w:rFonts w:ascii="仿宋" w:hAnsi="仿宋" w:eastAsia="仿宋" w:cs="仿宋"/>
          <w:sz w:val="24"/>
        </w:rPr>
        <w:t>Availability</w:t>
      </w:r>
      <w:r>
        <w:rPr>
          <w:rFonts w:hint="eastAsia" w:ascii="仿宋" w:hAnsi="仿宋" w:eastAsia="仿宋" w:cs="仿宋"/>
          <w:sz w:val="24"/>
        </w:rPr>
        <w:t>）</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已授权实体一旦需要就可访问和使用的数据和资源的特性（定义来源[GB/T 25069-2010</w:t>
      </w:r>
      <w:r>
        <w:rPr>
          <w:rFonts w:hint="eastAsia" w:ascii="仿宋" w:hAnsi="仿宋" w:eastAsia="仿宋" w:cs="仿宋"/>
          <w:color w:val="000000"/>
          <w:kern w:val="0"/>
          <w:sz w:val="24"/>
          <w:lang w:bidi="ar"/>
        </w:rPr>
        <w:t>，定义</w:t>
      </w:r>
      <w:r>
        <w:rPr>
          <w:rFonts w:ascii="仿宋" w:hAnsi="仿宋" w:eastAsia="仿宋" w:cs="仿宋"/>
          <w:color w:val="000000"/>
          <w:kern w:val="0"/>
          <w:sz w:val="24"/>
          <w:lang w:bidi="ar"/>
        </w:rPr>
        <w:t>2.1.20]）。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时效性</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数据符合数据标准</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数据模型</w:t>
      </w:r>
      <w:r>
        <w:rPr>
          <w:rFonts w:hint="eastAsia" w:ascii="仿宋" w:hAnsi="仿宋" w:eastAsia="仿宋" w:cs="仿宋"/>
          <w:color w:val="000000"/>
          <w:kern w:val="0"/>
          <w:sz w:val="24"/>
          <w:lang w:bidi="ar"/>
        </w:rPr>
        <w:t>、业务规则、元数据或权威参考数据的程度（</w:t>
      </w:r>
      <w:r>
        <w:rPr>
          <w:rFonts w:ascii="仿宋" w:hAnsi="仿宋" w:eastAsia="仿宋" w:cs="仿宋"/>
          <w:color w:val="000000"/>
          <w:kern w:val="0"/>
          <w:sz w:val="24"/>
          <w:lang w:bidi="ar"/>
        </w:rPr>
        <w:t>定义来源[GB/T 36344-2018]）。</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可访问性</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数据能被访问的程度</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定义来源[GB/T 36344-2018]）。</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数据安全能力</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组织在组织建设、制度流程、技术工具以及人员能力等方面对数据安全保障（</w:t>
      </w:r>
      <w:r>
        <w:rPr>
          <w:rFonts w:ascii="仿宋" w:hAnsi="仿宋" w:eastAsia="仿宋" w:cs="仿宋"/>
          <w:color w:val="000000"/>
          <w:kern w:val="0"/>
          <w:sz w:val="24"/>
          <w:lang w:bidi="ar"/>
        </w:rPr>
        <w:t>定义来源[GB/T 37988-2019]）。</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个人信息</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以电子或者其他方式记录的与已识别或者可识别的自然人有关的个人信息，不包含匿名化处理后的信息。</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w:t>
      </w:r>
      <w:r>
        <w:rPr>
          <w:rFonts w:ascii="仿宋" w:hAnsi="仿宋" w:eastAsia="仿宋" w:cs="仿宋"/>
          <w:color w:val="000000"/>
          <w:kern w:val="0"/>
          <w:sz w:val="24"/>
          <w:lang w:bidi="ar"/>
        </w:rPr>
        <w:t>1</w:t>
      </w:r>
      <w:r>
        <w:rPr>
          <w:rFonts w:hint="eastAsia" w:ascii="仿宋" w:hAnsi="仿宋" w:eastAsia="仿宋" w:cs="仿宋"/>
          <w:color w:val="000000"/>
          <w:kern w:val="0"/>
          <w:sz w:val="24"/>
          <w:lang w:bidi="ar"/>
        </w:rPr>
        <w:t>：个人信息包括姓名、出生日期、身份证件号码、个人生物识别信息、住址、通信通讯联系方式、通信记录和内容、账号密码、财产信息、征信信息、行踪轨迹、住宿信息、健康生理信息、交易信息等。</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w:t>
      </w:r>
      <w:r>
        <w:rPr>
          <w:rFonts w:ascii="仿宋" w:hAnsi="仿宋" w:eastAsia="仿宋" w:cs="仿宋"/>
          <w:color w:val="000000"/>
          <w:kern w:val="0"/>
          <w:sz w:val="24"/>
          <w:lang w:bidi="ar"/>
        </w:rPr>
        <w:t>2</w:t>
      </w:r>
      <w:r>
        <w:rPr>
          <w:rFonts w:hint="eastAsia" w:ascii="仿宋" w:hAnsi="仿宋" w:eastAsia="仿宋" w:cs="仿宋"/>
          <w:color w:val="000000"/>
          <w:kern w:val="0"/>
          <w:sz w:val="24"/>
          <w:lang w:bidi="ar"/>
        </w:rPr>
        <w:t>：关于个人信息的判定方法和类型参见《附则一》。</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w:t>
      </w:r>
      <w:r>
        <w:rPr>
          <w:rFonts w:ascii="仿宋" w:hAnsi="仿宋" w:eastAsia="仿宋" w:cs="仿宋"/>
          <w:color w:val="000000"/>
          <w:kern w:val="0"/>
          <w:sz w:val="24"/>
          <w:lang w:bidi="ar"/>
        </w:rPr>
        <w:t>3</w:t>
      </w:r>
      <w:r>
        <w:rPr>
          <w:rFonts w:hint="eastAsia" w:ascii="仿宋" w:hAnsi="仿宋" w:eastAsia="仿宋" w:cs="仿宋"/>
          <w:color w:val="000000"/>
          <w:kern w:val="0"/>
          <w:sz w:val="24"/>
          <w:lang w:bidi="ar"/>
        </w:rPr>
        <w:t>：个人信息控制者通过个人信息或其他信息加工处理后形成的信息，例如，用户画像或特征标签，能够单独或者与其他信息结合识别特定自然人身份或者反映特定自然人活动情况的，属于个人信息。</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定义来源[GB/T 35273—2020]、《个人信息保护法》）</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个人敏感信息</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一旦泄露、非法提供或滥用可能危害人身和财产安全，极易导致个人名誉、身心健康受到损害或歧视性待遇等的个人信息。</w:t>
      </w:r>
      <w:r>
        <w:rPr>
          <w:rFonts w:ascii="仿宋" w:hAnsi="仿宋" w:eastAsia="仿宋" w:cs="仿宋"/>
          <w:color w:val="000000"/>
          <w:kern w:val="0"/>
          <w:sz w:val="24"/>
          <w:lang w:bidi="ar"/>
        </w:rPr>
        <w:t xml:space="preserve"> </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w:t>
      </w:r>
      <w:r>
        <w:rPr>
          <w:rFonts w:ascii="仿宋" w:hAnsi="仿宋" w:eastAsia="仿宋" w:cs="仿宋"/>
          <w:color w:val="000000"/>
          <w:kern w:val="0"/>
          <w:sz w:val="24"/>
          <w:lang w:bidi="ar"/>
        </w:rPr>
        <w:t>1</w:t>
      </w:r>
      <w:r>
        <w:rPr>
          <w:rFonts w:hint="eastAsia" w:ascii="仿宋" w:hAnsi="仿宋" w:eastAsia="仿宋" w:cs="仿宋"/>
          <w:color w:val="000000"/>
          <w:kern w:val="0"/>
          <w:sz w:val="24"/>
          <w:lang w:bidi="ar"/>
        </w:rPr>
        <w:t>：个人敏感信息包括身份证件号码、个人生物识别信息、银行账户、通信记录和内容、财产信息、征信信息、行踪轨迹、住宿信息、健康生理信息、交易信息、</w:t>
      </w:r>
      <w:r>
        <w:rPr>
          <w:rFonts w:ascii="仿宋" w:hAnsi="仿宋" w:eastAsia="仿宋" w:cs="仿宋"/>
          <w:color w:val="000000"/>
          <w:kern w:val="0"/>
          <w:sz w:val="24"/>
          <w:lang w:bidi="ar"/>
        </w:rPr>
        <w:t>未满14周岁（含）未成年人</w:t>
      </w:r>
      <w:r>
        <w:rPr>
          <w:rFonts w:hint="eastAsia" w:ascii="仿宋" w:hAnsi="仿宋" w:eastAsia="仿宋" w:cs="仿宋"/>
          <w:color w:val="000000"/>
          <w:kern w:val="0"/>
          <w:sz w:val="24"/>
          <w:lang w:bidi="ar"/>
        </w:rPr>
        <w:t>的个人信息等。</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w:t>
      </w:r>
      <w:r>
        <w:rPr>
          <w:rFonts w:ascii="仿宋" w:hAnsi="仿宋" w:eastAsia="仿宋" w:cs="仿宋"/>
          <w:color w:val="000000"/>
          <w:kern w:val="0"/>
          <w:sz w:val="24"/>
          <w:lang w:bidi="ar"/>
        </w:rPr>
        <w:t>2</w:t>
      </w:r>
      <w:r>
        <w:rPr>
          <w:rFonts w:hint="eastAsia" w:ascii="仿宋" w:hAnsi="仿宋" w:eastAsia="仿宋" w:cs="仿宋"/>
          <w:color w:val="000000"/>
          <w:kern w:val="0"/>
          <w:sz w:val="24"/>
          <w:lang w:bidi="ar"/>
        </w:rPr>
        <w:t>：关于个人敏感信息的判定方法和类型参见《附则二》。</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w:t>
      </w:r>
      <w:r>
        <w:rPr>
          <w:rFonts w:ascii="仿宋" w:hAnsi="仿宋" w:eastAsia="仿宋" w:cs="仿宋"/>
          <w:color w:val="000000"/>
          <w:kern w:val="0"/>
          <w:sz w:val="24"/>
          <w:lang w:bidi="ar"/>
        </w:rPr>
        <w:t>3</w:t>
      </w:r>
      <w:r>
        <w:rPr>
          <w:rFonts w:hint="eastAsia" w:ascii="仿宋" w:hAnsi="仿宋" w:eastAsia="仿宋" w:cs="仿宋"/>
          <w:color w:val="000000"/>
          <w:kern w:val="0"/>
          <w:sz w:val="24"/>
          <w:lang w:bidi="ar"/>
        </w:rPr>
        <w:t>：个人信息控制者通过个人信息或其他信息加工处理后形成的信息，如一旦泄露、非法提供或滥用可能危害人身和财产安全，极易导致个人名誉、身心健康受到损害或歧视性待遇等的，属于个人敏感信息。</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用户画像</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通过收集、汇聚、分析个人信息，对某特定自然人个人特征，如职业、经济、健康、教育、个人喜好、信用、行为等方面作出分析或预测，形成其个人特征模型的过程。</w:t>
      </w:r>
      <w:r>
        <w:rPr>
          <w:rFonts w:ascii="仿宋" w:hAnsi="仿宋" w:eastAsia="仿宋" w:cs="仿宋"/>
          <w:color w:val="000000"/>
          <w:kern w:val="0"/>
          <w:sz w:val="24"/>
          <w:lang w:bidi="ar"/>
        </w:rPr>
        <w:t xml:space="preserve"> </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注：直接使用特定自然人的个人信息，形成该自然人的特征模型，称为直接用户画像。使用来源于特定自然人以外的个人信息，如其所在群体的数据，形成该自然人的特征模型，称为间接用户画像。</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个人信息主体</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个人信息所标识或者关联的自然人</w:t>
      </w:r>
      <w:r>
        <w:rPr>
          <w:rFonts w:hint="eastAsia" w:ascii="仿宋" w:hAnsi="仿宋" w:eastAsia="仿宋" w:cs="仿宋"/>
          <w:color w:val="000000"/>
          <w:kern w:val="0"/>
          <w:sz w:val="24"/>
          <w:lang w:bidi="ar"/>
        </w:rPr>
        <w:t>（定义来源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个人信息控制者</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有能力决定个人信息处理目的、方式等的组织或个人（定义来源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个人信息处理者</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是指自主决定处理目的、处理方式等个人信息处理事项的组织、个人（定义来源</w:t>
      </w:r>
      <w:r>
        <w:rPr>
          <w:rFonts w:ascii="仿宋" w:hAnsi="仿宋" w:eastAsia="仿宋" w:cs="仿宋"/>
          <w:color w:val="000000"/>
          <w:kern w:val="0"/>
          <w:sz w:val="24"/>
          <w:lang w:bidi="ar"/>
        </w:rPr>
        <w:t>[中华人民共和国个人信息保护法]）。</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个人信息的处理</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包括个人信息的收集、存储、使用、加工、传输、共享、转让、公开披露、删除等活动（定义来源</w:t>
      </w:r>
      <w:r>
        <w:rPr>
          <w:rFonts w:ascii="仿宋" w:hAnsi="仿宋" w:eastAsia="仿宋" w:cs="仿宋"/>
          <w:color w:val="000000"/>
          <w:kern w:val="0"/>
          <w:sz w:val="24"/>
          <w:lang w:bidi="ar"/>
        </w:rPr>
        <w:t>[中华人民共和国个人信息保护法]、[GB/T 35273—2020]）。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数据脱敏</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通过一</w:t>
      </w:r>
      <w:r>
        <w:rPr>
          <w:rFonts w:ascii="仿宋" w:hAnsi="仿宋" w:eastAsia="仿宋" w:cs="仿宋"/>
          <w:color w:val="000000"/>
          <w:kern w:val="0"/>
          <w:sz w:val="24"/>
          <w:lang w:bidi="ar"/>
        </w:rPr>
        <w:t>系</w:t>
      </w:r>
      <w:r>
        <w:rPr>
          <w:rFonts w:hint="eastAsia" w:ascii="仿宋" w:hAnsi="仿宋" w:eastAsia="仿宋" w:cs="仿宋"/>
          <w:color w:val="000000"/>
          <w:kern w:val="0"/>
          <w:sz w:val="24"/>
          <w:lang w:bidi="ar"/>
        </w:rPr>
        <w:t>列数据处理方法对原始数据进行处理以屏蔽敏感数据的一种数据保护方法（</w:t>
      </w:r>
      <w:r>
        <w:rPr>
          <w:rFonts w:ascii="仿宋" w:hAnsi="仿宋" w:eastAsia="仿宋" w:cs="仿宋"/>
          <w:color w:val="000000"/>
          <w:kern w:val="0"/>
          <w:sz w:val="24"/>
          <w:lang w:bidi="ar"/>
        </w:rPr>
        <w:t>定义来源[GB/T 37988-2019]）。</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匿名化</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通过对个人信息的技术处理无法识别特定自然人且不能复原的过程。</w:t>
      </w:r>
      <w:r>
        <w:rPr>
          <w:rFonts w:ascii="仿宋" w:hAnsi="仿宋" w:eastAsia="仿宋" w:cs="仿宋"/>
          <w:color w:val="000000"/>
          <w:kern w:val="0"/>
          <w:sz w:val="24"/>
          <w:lang w:bidi="ar"/>
        </w:rPr>
        <w:t xml:space="preserve"> </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注：个人信息经匿名化处理后所得的信息不属于个人信息。</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（定义来源</w:t>
      </w:r>
      <w:r>
        <w:rPr>
          <w:rFonts w:ascii="仿宋" w:hAnsi="仿宋" w:eastAsia="仿宋" w:cs="仿宋"/>
          <w:color w:val="000000"/>
          <w:kern w:val="0"/>
          <w:sz w:val="24"/>
          <w:lang w:bidi="ar"/>
        </w:rPr>
        <w:t>[GB/T 35273—2020]）、[中华人民共和国个人信息保护法]）</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去标识化</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个人信息经过处理，使其在不借助额外信息的情况下无法识别特定自然人的过程。</w:t>
      </w:r>
      <w:r>
        <w:rPr>
          <w:rFonts w:ascii="仿宋" w:hAnsi="仿宋" w:eastAsia="仿宋" w:cs="仿宋"/>
          <w:color w:val="000000"/>
          <w:kern w:val="0"/>
          <w:sz w:val="24"/>
          <w:lang w:bidi="ar"/>
        </w:rPr>
        <w:t xml:space="preserve"> </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注：去标识化建立在个体基础之上，保留了个体颗粒度，采用假名、加密、哈希函数等技术手段替代对个人信息的标识。（定义来源</w:t>
      </w:r>
      <w:r>
        <w:rPr>
          <w:rFonts w:ascii="仿宋" w:hAnsi="仿宋" w:eastAsia="仿宋" w:cs="仿宋"/>
          <w:color w:val="000000"/>
          <w:kern w:val="0"/>
          <w:sz w:val="24"/>
          <w:lang w:bidi="ar"/>
        </w:rPr>
        <w:t>[GB/T 35273—2020]、[[中华人民共和国个人信息保护法]）</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自动化决策</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通过计算机程序自动分析、评估个人的行为习惯兴趣爱好或者经济、健康、信用状况等，并进行决策的活动。（定义来源</w:t>
      </w:r>
      <w:r>
        <w:rPr>
          <w:rFonts w:ascii="仿宋" w:hAnsi="仿宋" w:eastAsia="仿宋" w:cs="仿宋"/>
          <w:color w:val="000000"/>
          <w:kern w:val="0"/>
          <w:sz w:val="24"/>
          <w:lang w:bidi="ar"/>
        </w:rPr>
        <w:t>[中华人民共和国个人信息保护法]）。</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个人信息删除</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在实现日常业务功能所涉及的系统中去除个人信息的行为，使其保持不可被检索、访问的状态（定义来源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公开披露</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向社会或不特定人群发布信息的行为（定义来源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转让</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将个人信息控制权由一个控制者向另一个控制者转移的过程（定义来源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共享</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个人信息控制者向其他控制者提供个人信息，且双方分别对个人信息拥有独立控制权的过程（定义来源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删除</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在实际日常业务功能所涉及的系统中去除个人信息的行为，使其保持不可被检索、访问的状态（定义来源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个性化展示</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基于特定个人信息主体的网络浏览历史</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兴趣爱好</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消费记录和习惯等个人信息</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向该个人信息主体展示信息内容</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提供商品或服务的搜索结果等活动</w:t>
      </w:r>
      <w:r>
        <w:rPr>
          <w:rFonts w:hint="eastAsia" w:ascii="仿宋" w:hAnsi="仿宋" w:eastAsia="仿宋" w:cs="仿宋"/>
          <w:color w:val="000000"/>
          <w:kern w:val="0"/>
          <w:sz w:val="24"/>
          <w:lang w:bidi="ar"/>
        </w:rPr>
        <w:t>（定义来源</w:t>
      </w:r>
      <w:r>
        <w:rPr>
          <w:rFonts w:ascii="仿宋" w:hAnsi="仿宋" w:eastAsia="仿宋" w:cs="仿宋"/>
          <w:color w:val="000000"/>
          <w:kern w:val="0"/>
          <w:sz w:val="24"/>
          <w:lang w:bidi="ar"/>
        </w:rPr>
        <w:t>[GB/T 35273—2020]）。</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大数据</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具有数量巨大</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种类</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流动速度快</w:t>
      </w:r>
      <w:r>
        <w:rPr>
          <w:rFonts w:hint="eastAsia" w:ascii="仿宋" w:hAnsi="仿宋" w:eastAsia="仿宋" w:cs="仿宋"/>
          <w:color w:val="000000"/>
          <w:kern w:val="0"/>
          <w:sz w:val="24"/>
          <w:lang w:bidi="ar"/>
        </w:rPr>
        <w:t>、特征多变等特性，并且难以用传统数据体系结构和数据处理技术进行有效组织、存储、计算、分析和管理的数据集（定义来源</w:t>
      </w:r>
      <w:r>
        <w:rPr>
          <w:rFonts w:ascii="仿宋" w:hAnsi="仿宋" w:eastAsia="仿宋" w:cs="仿宋"/>
          <w:color w:val="000000"/>
          <w:kern w:val="0"/>
          <w:sz w:val="24"/>
          <w:lang w:bidi="ar"/>
        </w:rPr>
        <w:t>[GB/T 37983-2019]）。</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数据消费者</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大数据参考架构中的一种逻辑功能构件</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是使用大数据应用提供者提供的应用的末端用户或其他系统</w:t>
      </w:r>
      <w:r>
        <w:rPr>
          <w:rFonts w:hint="eastAsia" w:ascii="仿宋" w:hAnsi="仿宋" w:eastAsia="仿宋" w:cs="仿宋"/>
          <w:color w:val="000000"/>
          <w:kern w:val="0"/>
          <w:sz w:val="24"/>
          <w:lang w:bidi="ar"/>
        </w:rPr>
        <w:t>（定义来源</w:t>
      </w:r>
      <w:r>
        <w:rPr>
          <w:rFonts w:ascii="仿宋" w:hAnsi="仿宋" w:eastAsia="仿宋" w:cs="仿宋"/>
          <w:color w:val="000000"/>
          <w:kern w:val="0"/>
          <w:sz w:val="24"/>
          <w:lang w:bidi="ar"/>
        </w:rPr>
        <w:t>[GB/T 35589-2017]</w:t>
      </w:r>
      <w:r>
        <w:rPr>
          <w:rFonts w:hint="eastAsia" w:ascii="仿宋" w:hAnsi="仿宋" w:eastAsia="仿宋" w:cs="仿宋"/>
          <w:color w:val="000000"/>
          <w:kern w:val="0"/>
          <w:sz w:val="24"/>
          <w:lang w:bidi="ar"/>
        </w:rPr>
        <w:t>）。</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大数据平台</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采用分布式存储和计算技术，提供大数据的访问和处理，支持大数据应用安全高效运行的软硬件集合（定义来源</w:t>
      </w:r>
      <w:r>
        <w:rPr>
          <w:rFonts w:ascii="仿宋" w:hAnsi="仿宋" w:eastAsia="仿宋" w:cs="仿宋"/>
          <w:color w:val="000000"/>
          <w:kern w:val="0"/>
          <w:sz w:val="24"/>
          <w:lang w:bidi="ar"/>
        </w:rPr>
        <w:t>[GB/T 37983-2019]）。</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收集</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负责处理与数据提供者的接口和数据引人（定义来源</w:t>
      </w:r>
      <w:r>
        <w:rPr>
          <w:rFonts w:ascii="仿宋" w:hAnsi="仿宋" w:eastAsia="仿宋" w:cs="仿宋"/>
          <w:color w:val="000000"/>
          <w:kern w:val="0"/>
          <w:sz w:val="24"/>
          <w:lang w:bidi="ar"/>
        </w:rPr>
        <w:t>[GB/T 35589-2017]</w:t>
      </w:r>
      <w:r>
        <w:rPr>
          <w:rFonts w:hint="eastAsia" w:ascii="仿宋" w:hAnsi="仿宋" w:eastAsia="仿宋" w:cs="仿宋"/>
          <w:color w:val="000000"/>
          <w:kern w:val="0"/>
          <w:sz w:val="24"/>
          <w:lang w:bidi="ar"/>
        </w:rPr>
        <w:t>）。</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预处理</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包括数据雁阵、清洗、标准化、格式化和存储（定义来源</w:t>
      </w:r>
      <w:r>
        <w:rPr>
          <w:rFonts w:ascii="仿宋" w:hAnsi="仿宋" w:eastAsia="仿宋" w:cs="仿宋"/>
          <w:color w:val="000000"/>
          <w:kern w:val="0"/>
          <w:sz w:val="24"/>
          <w:lang w:bidi="ar"/>
        </w:rPr>
        <w:t>[GB/T 35589-2017]</w:t>
      </w:r>
      <w:r>
        <w:rPr>
          <w:rFonts w:hint="eastAsia" w:ascii="仿宋" w:hAnsi="仿宋" w:eastAsia="仿宋" w:cs="仿宋"/>
          <w:color w:val="000000"/>
          <w:kern w:val="0"/>
          <w:sz w:val="24"/>
          <w:lang w:bidi="ar"/>
        </w:rPr>
        <w:t>）。</w:t>
      </w:r>
    </w:p>
    <w:p>
      <w:pPr>
        <w:numPr>
          <w:ilvl w:val="2"/>
          <w:numId w:val="4"/>
        </w:numPr>
        <w:spacing w:line="360" w:lineRule="auto"/>
        <w:ind w:left="0" w:firstLine="0"/>
        <w:rPr>
          <w:rFonts w:ascii="仿宋" w:hAnsi="仿宋" w:eastAsia="仿宋" w:cs="仿宋"/>
          <w:sz w:val="24"/>
        </w:rPr>
      </w:pPr>
      <w:r>
        <w:rPr>
          <w:rFonts w:hint="eastAsia" w:ascii="仿宋" w:hAnsi="仿宋" w:eastAsia="仿宋" w:cs="仿宋"/>
          <w:sz w:val="24"/>
        </w:rPr>
        <w:t>分析</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基于数据科学家的需求或垂直应用的需求</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确定分析数据的算法来产生新的分析</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解决技术目标</w:t>
      </w:r>
      <w:r>
        <w:rPr>
          <w:rFonts w:hint="eastAsia" w:ascii="仿宋" w:hAnsi="仿宋" w:eastAsia="仿宋" w:cs="仿宋"/>
          <w:color w:val="000000"/>
          <w:kern w:val="0"/>
          <w:sz w:val="24"/>
          <w:lang w:bidi="ar"/>
        </w:rPr>
        <w:t>，从而实现从数据中提取知识的技术（定义来源</w:t>
      </w:r>
      <w:r>
        <w:rPr>
          <w:rFonts w:ascii="仿宋" w:hAnsi="仿宋" w:eastAsia="仿宋" w:cs="仿宋"/>
          <w:color w:val="000000"/>
          <w:kern w:val="0"/>
          <w:sz w:val="24"/>
          <w:lang w:bidi="ar"/>
        </w:rPr>
        <w:t>[GB/T 35589-2017]</w:t>
      </w:r>
      <w:r>
        <w:rPr>
          <w:rFonts w:hint="eastAsia" w:ascii="仿宋" w:hAnsi="仿宋" w:eastAsia="仿宋" w:cs="仿宋"/>
          <w:color w:val="000000"/>
          <w:kern w:val="0"/>
          <w:sz w:val="24"/>
          <w:lang w:bidi="ar"/>
        </w:rPr>
        <w:t>）。</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可视化</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提供给最终的数据消费者处理中的数据元素和呈现分析功能的输出（定义来源</w:t>
      </w:r>
      <w:r>
        <w:rPr>
          <w:rFonts w:ascii="仿宋" w:hAnsi="仿宋" w:eastAsia="仿宋" w:cs="仿宋"/>
          <w:color w:val="000000"/>
          <w:kern w:val="0"/>
          <w:sz w:val="24"/>
          <w:lang w:bidi="ar"/>
        </w:rPr>
        <w:t>[GB/T 35589-2017]</w:t>
      </w:r>
      <w:r>
        <w:rPr>
          <w:rFonts w:hint="eastAsia" w:ascii="仿宋" w:hAnsi="仿宋" w:eastAsia="仿宋" w:cs="仿宋"/>
          <w:color w:val="000000"/>
          <w:kern w:val="0"/>
          <w:sz w:val="24"/>
          <w:lang w:bidi="ar"/>
        </w:rPr>
        <w:t>）。</w:t>
      </w:r>
    </w:p>
    <w:p>
      <w:pPr>
        <w:numPr>
          <w:ilvl w:val="2"/>
          <w:numId w:val="4"/>
        </w:numPr>
        <w:spacing w:line="360" w:lineRule="auto"/>
        <w:ind w:left="0" w:firstLine="0"/>
        <w:rPr>
          <w:rFonts w:ascii="仿宋" w:hAnsi="仿宋" w:eastAsia="仿宋" w:cs="仿宋"/>
          <w:sz w:val="24"/>
        </w:rPr>
      </w:pPr>
      <w:r>
        <w:rPr>
          <w:rFonts w:ascii="仿宋" w:hAnsi="仿宋" w:eastAsia="仿宋" w:cs="仿宋"/>
          <w:sz w:val="24"/>
        </w:rPr>
        <w:t>组织</w:t>
      </w:r>
    </w:p>
    <w:p>
      <w:pPr>
        <w:pStyle w:val="36"/>
        <w:widowControl/>
        <w:spacing w:line="360" w:lineRule="auto"/>
        <w:ind w:firstLine="480"/>
        <w:rPr>
          <w:rFonts w:ascii="仿宋" w:hAnsi="仿宋" w:eastAsia="仿宋" w:cs="仿宋"/>
          <w:color w:val="000000"/>
          <w:kern w:val="0"/>
          <w:sz w:val="24"/>
          <w:lang w:bidi="ar"/>
        </w:rPr>
      </w:pPr>
      <w:r>
        <w:rPr>
          <w:rFonts w:ascii="仿宋" w:hAnsi="仿宋" w:eastAsia="仿宋" w:cs="仿宋"/>
          <w:color w:val="000000"/>
          <w:kern w:val="0"/>
          <w:sz w:val="24"/>
          <w:lang w:bidi="ar"/>
        </w:rPr>
        <w:t>由作用不同的个体为实施共同的业务目标而建立的结构</w:t>
      </w:r>
      <w:r>
        <w:rPr>
          <w:rFonts w:hint="eastAsia" w:ascii="仿宋" w:hAnsi="仿宋" w:eastAsia="仿宋" w:cs="仿宋"/>
          <w:color w:val="000000"/>
          <w:kern w:val="0"/>
          <w:sz w:val="24"/>
          <w:lang w:bidi="ar"/>
        </w:rPr>
        <w:t>。</w:t>
      </w:r>
    </w:p>
    <w:p>
      <w:pPr>
        <w:pStyle w:val="36"/>
        <w:widowControl/>
        <w:spacing w:line="360" w:lineRule="auto"/>
        <w:ind w:firstLine="480"/>
        <w:rPr>
          <w:rFonts w:ascii="仿宋" w:hAnsi="仿宋" w:eastAsia="仿宋" w:cs="仿宋"/>
          <w:color w:val="000000"/>
          <w:kern w:val="0"/>
          <w:sz w:val="24"/>
          <w:lang w:bidi="ar"/>
        </w:rPr>
      </w:pPr>
      <w:r>
        <w:rPr>
          <w:rFonts w:hint="eastAsia" w:ascii="仿宋" w:hAnsi="仿宋" w:eastAsia="仿宋" w:cs="仿宋"/>
          <w:color w:val="000000"/>
          <w:kern w:val="0"/>
          <w:sz w:val="24"/>
          <w:lang w:bidi="ar"/>
        </w:rPr>
        <w:t>注：组织可以是一个企业、事业单位、政府部门等。</w:t>
      </w:r>
      <w:r>
        <w:rPr>
          <w:rFonts w:ascii="仿宋" w:hAnsi="仿宋" w:eastAsia="仿宋" w:cs="仿宋"/>
          <w:color w:val="000000"/>
          <w:kern w:val="0"/>
          <w:sz w:val="24"/>
          <w:lang w:bidi="ar"/>
        </w:rPr>
        <w:t>(定义来源[GB/T 37973-2019])</w:t>
      </w:r>
    </w:p>
    <w:p>
      <w:pPr>
        <w:pStyle w:val="36"/>
        <w:widowControl/>
        <w:spacing w:line="360" w:lineRule="auto"/>
        <w:ind w:firstLine="480"/>
        <w:rPr>
          <w:rFonts w:ascii="仿宋" w:hAnsi="仿宋" w:eastAsia="仿宋" w:cs="仿宋"/>
          <w:color w:val="000000"/>
          <w:kern w:val="0"/>
          <w:sz w:val="24"/>
          <w:lang w:bidi="ar"/>
        </w:rPr>
        <w:sectPr>
          <w:pgSz w:w="11906" w:h="16838"/>
          <w:pgMar w:top="720" w:right="720" w:bottom="720" w:left="720" w:header="851" w:footer="992" w:gutter="0"/>
          <w:cols w:space="425" w:num="1"/>
          <w:docGrid w:type="lines" w:linePitch="312" w:charSpace="0"/>
        </w:sectPr>
      </w:pPr>
    </w:p>
    <w:p>
      <w:pPr>
        <w:pStyle w:val="36"/>
        <w:widowControl/>
        <w:spacing w:line="360" w:lineRule="auto"/>
        <w:ind w:firstLine="480"/>
        <w:rPr>
          <w:rFonts w:ascii="仿宋" w:hAnsi="仿宋" w:eastAsia="仿宋" w:cs="仿宋"/>
          <w:color w:val="000000"/>
          <w:kern w:val="0"/>
          <w:sz w:val="24"/>
          <w:lang w:bidi="ar"/>
        </w:rPr>
      </w:pPr>
    </w:p>
    <w:p>
      <w:pPr>
        <w:pStyle w:val="5"/>
        <w:numPr>
          <w:ilvl w:val="0"/>
          <w:numId w:val="3"/>
        </w:numPr>
        <w:jc w:val="center"/>
        <w:rPr>
          <w:rFonts w:hint="default" w:ascii="仿宋" w:hAnsi="仿宋" w:eastAsia="仿宋"/>
          <w:sz w:val="28"/>
          <w:szCs w:val="28"/>
        </w:rPr>
      </w:pPr>
      <w:r>
        <w:rPr>
          <w:rFonts w:ascii="仿宋" w:hAnsi="仿宋" w:eastAsia="仿宋"/>
          <w:sz w:val="28"/>
          <w:szCs w:val="28"/>
        </w:rPr>
        <w:t>引用及参考的内部文件</w:t>
      </w:r>
    </w:p>
    <w:p>
      <w:pPr>
        <w:pStyle w:val="28"/>
        <w:ind w:left="0"/>
        <w:rPr>
          <w:rFonts w:ascii="仿宋" w:hAnsi="仿宋" w:cs="仿宋"/>
          <w:sz w:val="24"/>
        </w:rPr>
      </w:pPr>
      <w:r>
        <w:rPr>
          <w:rFonts w:ascii="仿宋" w:hAnsi="仿宋" w:cs="仿宋"/>
          <w:sz w:val="24"/>
        </w:rPr>
        <w:t>本制度主要引用及参考《</w:t>
      </w:r>
      <w:r>
        <w:rPr>
          <w:rFonts w:hint="eastAsia" w:ascii="仿宋" w:hAnsi="仿宋" w:cs="仿宋"/>
          <w:sz w:val="24"/>
        </w:rPr>
        <w:t>广东乐育尚学科技有限公司信息安全管理制度</w:t>
      </w:r>
      <w:r>
        <w:rPr>
          <w:rFonts w:ascii="仿宋" w:hAnsi="仿宋" w:cs="仿宋"/>
          <w:sz w:val="24"/>
        </w:rPr>
        <w:t>》、《</w:t>
      </w:r>
      <w:r>
        <w:rPr>
          <w:rFonts w:hint="eastAsia" w:ascii="仿宋" w:hAnsi="仿宋" w:cs="仿宋"/>
          <w:sz w:val="24"/>
        </w:rPr>
        <w:t>广东乐育尚学科技有限公司</w:t>
      </w:r>
      <w:r>
        <w:rPr>
          <w:rFonts w:ascii="仿宋" w:hAnsi="仿宋" w:cs="仿宋"/>
          <w:sz w:val="24"/>
        </w:rPr>
        <w:t>信息系统账号及权限管理规范》、《</w:t>
      </w:r>
      <w:r>
        <w:rPr>
          <w:rFonts w:hint="eastAsia" w:ascii="仿宋" w:hAnsi="仿宋" w:cs="仿宋"/>
          <w:sz w:val="24"/>
        </w:rPr>
        <w:t>广东乐育尚学科技有限公司违规管理制度</w:t>
      </w:r>
      <w:r>
        <w:rPr>
          <w:rFonts w:ascii="仿宋" w:hAnsi="仿宋" w:cs="仿宋"/>
          <w:sz w:val="24"/>
        </w:rPr>
        <w:t>》</w:t>
      </w:r>
      <w:r>
        <w:rPr>
          <w:rFonts w:hint="eastAsia" w:ascii="仿宋" w:hAnsi="仿宋" w:cs="仿宋"/>
          <w:sz w:val="24"/>
        </w:rPr>
        <w:t>等内部文件。</w:t>
      </w:r>
    </w:p>
    <w:p>
      <w:pPr>
        <w:pStyle w:val="5"/>
        <w:numPr>
          <w:ilvl w:val="0"/>
          <w:numId w:val="3"/>
        </w:numPr>
        <w:spacing w:before="100" w:after="100"/>
        <w:jc w:val="center"/>
        <w:rPr>
          <w:rFonts w:hint="default" w:ascii="仿宋" w:hAnsi="仿宋" w:eastAsia="仿宋"/>
          <w:sz w:val="28"/>
          <w:szCs w:val="28"/>
        </w:rPr>
      </w:pPr>
      <w:r>
        <w:rPr>
          <w:rFonts w:ascii="仿宋" w:hAnsi="仿宋" w:eastAsia="仿宋"/>
          <w:sz w:val="28"/>
          <w:szCs w:val="28"/>
        </w:rPr>
        <w:t>数据安全管理原则</w:t>
      </w:r>
    </w:p>
    <w:p>
      <w:pPr>
        <w:pStyle w:val="28"/>
        <w:ind w:left="0"/>
        <w:rPr>
          <w:rFonts w:ascii="仿宋" w:hAnsi="仿宋" w:cs="仿宋"/>
          <w:sz w:val="24"/>
        </w:rPr>
      </w:pPr>
      <w:r>
        <w:rPr>
          <w:rFonts w:hint="eastAsia" w:ascii="仿宋" w:hAnsi="仿宋" w:cs="仿宋"/>
          <w:sz w:val="24"/>
        </w:rPr>
        <w:t>公司所有的数据活动应严格遵循以下数据安全管理原则：</w:t>
      </w:r>
    </w:p>
    <w:p>
      <w:pPr>
        <w:numPr>
          <w:ilvl w:val="2"/>
          <w:numId w:val="5"/>
        </w:numPr>
        <w:spacing w:line="360" w:lineRule="auto"/>
        <w:rPr>
          <w:rFonts w:ascii="仿宋" w:hAnsi="仿宋" w:eastAsia="仿宋" w:cs="仿宋"/>
          <w:sz w:val="24"/>
        </w:rPr>
      </w:pPr>
      <w:r>
        <w:rPr>
          <w:rFonts w:hint="eastAsia" w:ascii="仿宋" w:hAnsi="仿宋" w:eastAsia="仿宋" w:cs="仿宋"/>
          <w:sz w:val="24"/>
        </w:rPr>
        <w:t>职责明确原则</w:t>
      </w:r>
    </w:p>
    <w:p>
      <w:pPr>
        <w:pStyle w:val="36"/>
        <w:numPr>
          <w:ilvl w:val="0"/>
          <w:numId w:val="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设立数据安全组织架构，按照合理的数据安全分工原则，设置不同的数据安全岗位，并定义相关职责。</w:t>
      </w:r>
    </w:p>
    <w:p>
      <w:pPr>
        <w:pStyle w:val="36"/>
        <w:numPr>
          <w:ilvl w:val="0"/>
          <w:numId w:val="6"/>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根据组织架构的岗位职责要求</w:t>
      </w:r>
      <w:r>
        <w:rPr>
          <w:rFonts w:hint="eastAsia" w:ascii="仿宋" w:hAnsi="仿宋" w:eastAsia="仿宋" w:cs="仿宋"/>
          <w:color w:val="000000"/>
          <w:kern w:val="0"/>
          <w:sz w:val="24"/>
          <w:lang w:bidi="ar"/>
        </w:rPr>
        <w:t>，分配</w:t>
      </w:r>
      <w:r>
        <w:rPr>
          <w:rFonts w:ascii="仿宋" w:hAnsi="仿宋" w:eastAsia="仿宋" w:cs="仿宋"/>
          <w:color w:val="000000"/>
          <w:kern w:val="0"/>
          <w:sz w:val="24"/>
          <w:lang w:bidi="ar"/>
        </w:rPr>
        <w:t>具备</w:t>
      </w:r>
      <w:r>
        <w:rPr>
          <w:rFonts w:hint="eastAsia" w:ascii="仿宋" w:hAnsi="仿宋" w:eastAsia="仿宋" w:cs="仿宋"/>
          <w:color w:val="000000"/>
          <w:kern w:val="0"/>
          <w:sz w:val="24"/>
          <w:lang w:bidi="ar"/>
        </w:rPr>
        <w:t>相</w:t>
      </w:r>
      <w:r>
        <w:rPr>
          <w:rFonts w:ascii="仿宋" w:hAnsi="仿宋" w:eastAsia="仿宋" w:cs="仿宋"/>
          <w:color w:val="000000"/>
          <w:kern w:val="0"/>
          <w:sz w:val="24"/>
          <w:lang w:bidi="ar"/>
        </w:rPr>
        <w:t>应数据安全能力的人员</w:t>
      </w:r>
      <w:r>
        <w:rPr>
          <w:rFonts w:hint="eastAsia" w:ascii="仿宋" w:hAnsi="仿宋" w:eastAsia="仿宋" w:cs="仿宋"/>
          <w:color w:val="000000"/>
          <w:kern w:val="0"/>
          <w:sz w:val="24"/>
          <w:lang w:bidi="ar"/>
        </w:rPr>
        <w:t>，并为其设定角色，定义具体职责。</w:t>
      </w:r>
    </w:p>
    <w:p>
      <w:pPr>
        <w:pStyle w:val="36"/>
        <w:numPr>
          <w:ilvl w:val="0"/>
          <w:numId w:val="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根据数据安全的监管要求和公司业务需求，明确主要数据活动的实施主体及安全责任。</w:t>
      </w:r>
    </w:p>
    <w:p>
      <w:pPr>
        <w:pStyle w:val="36"/>
        <w:numPr>
          <w:ilvl w:val="0"/>
          <w:numId w:val="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应遵循“谁主管、谁负责”，“谁使用、谁负责”原则。如各业务线／平台</w:t>
      </w:r>
      <w:r>
        <w:rPr>
          <w:rFonts w:ascii="仿宋" w:hAnsi="仿宋" w:eastAsia="仿宋" w:cs="仿宋"/>
          <w:color w:val="000000"/>
          <w:kern w:val="0"/>
          <w:sz w:val="24"/>
          <w:lang w:bidi="ar"/>
        </w:rPr>
        <w:t xml:space="preserve">/部门为数据责任主体，对各业务线／平台/部门产生及通过其他法、正当渠道获取、保管、使用的数据承担管理职责。 </w:t>
      </w:r>
    </w:p>
    <w:p>
      <w:pPr>
        <w:numPr>
          <w:ilvl w:val="2"/>
          <w:numId w:val="5"/>
        </w:numPr>
        <w:spacing w:line="360" w:lineRule="auto"/>
        <w:ind w:left="0" w:firstLine="200"/>
        <w:rPr>
          <w:rFonts w:ascii="仿宋" w:hAnsi="仿宋" w:eastAsia="仿宋" w:cs="仿宋"/>
          <w:sz w:val="24"/>
        </w:rPr>
      </w:pPr>
      <w:r>
        <w:rPr>
          <w:rFonts w:ascii="仿宋" w:hAnsi="仿宋" w:eastAsia="仿宋" w:cs="仿宋"/>
          <w:sz w:val="24"/>
        </w:rPr>
        <w:t>责任不随数据转移原则</w:t>
      </w:r>
    </w:p>
    <w:p>
      <w:pPr>
        <w:pStyle w:val="36"/>
        <w:numPr>
          <w:ilvl w:val="0"/>
          <w:numId w:val="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数据转移给其它组织时，</w:t>
      </w:r>
      <w:r>
        <w:rPr>
          <w:rFonts w:ascii="仿宋" w:hAnsi="仿宋" w:eastAsia="仿宋" w:cs="仿宋"/>
          <w:color w:val="000000"/>
          <w:kern w:val="0"/>
          <w:sz w:val="24"/>
          <w:lang w:bidi="ar"/>
        </w:rPr>
        <w:t>责任不随数据转移而转移</w:t>
      </w:r>
      <w:r>
        <w:rPr>
          <w:rFonts w:hint="eastAsia" w:ascii="仿宋" w:hAnsi="仿宋" w:eastAsia="仿宋" w:cs="仿宋"/>
          <w:color w:val="000000"/>
          <w:kern w:val="0"/>
          <w:sz w:val="24"/>
          <w:lang w:bidi="ar"/>
        </w:rPr>
        <w:t>，应遵循“谁输出，谁负责”原则。</w:t>
      </w:r>
    </w:p>
    <w:p>
      <w:pPr>
        <w:pStyle w:val="36"/>
        <w:numPr>
          <w:ilvl w:val="0"/>
          <w:numId w:val="7"/>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数据控制者应在数据转移前</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做好风险评估</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确保数据转移后的风险可承担</w:t>
      </w:r>
      <w:r>
        <w:rPr>
          <w:rFonts w:hint="eastAsia" w:ascii="仿宋" w:hAnsi="仿宋" w:eastAsia="仿宋" w:cs="仿宋"/>
          <w:color w:val="000000"/>
          <w:kern w:val="0"/>
          <w:sz w:val="24"/>
          <w:lang w:bidi="ar"/>
        </w:rPr>
        <w:t>。</w:t>
      </w:r>
    </w:p>
    <w:p>
      <w:pPr>
        <w:pStyle w:val="36"/>
        <w:numPr>
          <w:ilvl w:val="0"/>
          <w:numId w:val="7"/>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公司应通过合同或其它有效措施</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明确界定接收方的数据范围和要求</w:t>
      </w:r>
      <w:r>
        <w:rPr>
          <w:rFonts w:hint="eastAsia" w:ascii="仿宋" w:hAnsi="仿宋" w:eastAsia="仿宋" w:cs="仿宋"/>
          <w:color w:val="000000"/>
          <w:kern w:val="0"/>
          <w:sz w:val="24"/>
          <w:lang w:bidi="ar"/>
        </w:rPr>
        <w:t>，确保其提供同等或更高的数据保护水平，明确接收方的数据安全责任。</w:t>
      </w:r>
    </w:p>
    <w:p>
      <w:pPr>
        <w:pStyle w:val="36"/>
        <w:numPr>
          <w:ilvl w:val="0"/>
          <w:numId w:val="7"/>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公司应</w:t>
      </w:r>
      <w:r>
        <w:rPr>
          <w:rFonts w:hint="eastAsia" w:ascii="仿宋" w:hAnsi="仿宋" w:eastAsia="仿宋" w:cs="仿宋"/>
          <w:color w:val="000000"/>
          <w:kern w:val="0"/>
          <w:sz w:val="24"/>
          <w:lang w:bidi="ar"/>
        </w:rPr>
        <w:t>采取有效措施，确保数据转移的安全事件责任可追溯。</w:t>
      </w:r>
    </w:p>
    <w:p>
      <w:pPr>
        <w:numPr>
          <w:ilvl w:val="2"/>
          <w:numId w:val="5"/>
        </w:numPr>
        <w:spacing w:line="360" w:lineRule="auto"/>
        <w:ind w:left="0" w:firstLine="200"/>
        <w:rPr>
          <w:rFonts w:ascii="仿宋" w:hAnsi="仿宋" w:eastAsia="仿宋" w:cs="仿宋"/>
          <w:sz w:val="24"/>
        </w:rPr>
      </w:pPr>
      <w:r>
        <w:rPr>
          <w:rFonts w:hint="eastAsia" w:ascii="仿宋" w:hAnsi="仿宋" w:eastAsia="仿宋" w:cs="仿宋"/>
          <w:sz w:val="24"/>
        </w:rPr>
        <w:t>分类分级管理、确保安全可控原则</w:t>
      </w:r>
    </w:p>
    <w:p>
      <w:pPr>
        <w:pStyle w:val="36"/>
        <w:numPr>
          <w:ilvl w:val="0"/>
          <w:numId w:val="8"/>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应依法确定数据的密级及开放条件，加强数据分类分级管理。</w:t>
      </w:r>
    </w:p>
    <w:p>
      <w:pPr>
        <w:pStyle w:val="36"/>
        <w:numPr>
          <w:ilvl w:val="0"/>
          <w:numId w:val="8"/>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明确不同类别、等级的数据具有相应的数据安全管理要求，提高数据安全的监管力度，确保安全可控。</w:t>
      </w:r>
    </w:p>
    <w:p>
      <w:pPr>
        <w:numPr>
          <w:ilvl w:val="2"/>
          <w:numId w:val="5"/>
        </w:numPr>
        <w:spacing w:line="360" w:lineRule="auto"/>
        <w:ind w:left="0" w:firstLine="200"/>
        <w:rPr>
          <w:rFonts w:ascii="仿宋" w:hAnsi="仿宋" w:eastAsia="仿宋" w:cs="仿宋"/>
          <w:sz w:val="24"/>
        </w:rPr>
      </w:pPr>
      <w:r>
        <w:rPr>
          <w:rFonts w:hint="eastAsia" w:ascii="仿宋" w:hAnsi="仿宋" w:eastAsia="仿宋" w:cs="仿宋"/>
          <w:color w:val="000000"/>
          <w:kern w:val="0"/>
          <w:sz w:val="24"/>
          <w:lang w:bidi="ar"/>
        </w:rPr>
        <w:t>公开透明原则</w:t>
      </w:r>
    </w:p>
    <w:p>
      <w:pPr>
        <w:pStyle w:val="36"/>
        <w:numPr>
          <w:ilvl w:val="0"/>
          <w:numId w:val="9"/>
        </w:numPr>
        <w:spacing w:line="360" w:lineRule="auto"/>
        <w:ind w:firstLineChars="0"/>
        <w:rPr>
          <w:rFonts w:ascii="仿宋" w:hAnsi="仿宋" w:eastAsia="仿宋" w:cs="仿宋"/>
          <w:sz w:val="24"/>
        </w:rPr>
      </w:pPr>
      <w:r>
        <w:rPr>
          <w:rFonts w:hint="eastAsia" w:ascii="仿宋" w:hAnsi="仿宋" w:eastAsia="仿宋" w:cs="仿宋"/>
          <w:color w:val="000000"/>
          <w:kern w:val="0"/>
          <w:sz w:val="24"/>
          <w:lang w:bidi="ar"/>
        </w:rPr>
        <w:t>以明确、易懂和合理的方式公开处理个人信息的范围、目的、规则等，并接受外部监督。</w:t>
      </w:r>
    </w:p>
    <w:p>
      <w:pPr>
        <w:numPr>
          <w:ilvl w:val="2"/>
          <w:numId w:val="5"/>
        </w:numPr>
        <w:spacing w:line="360" w:lineRule="auto"/>
        <w:ind w:left="0" w:firstLine="200"/>
        <w:rPr>
          <w:rFonts w:ascii="仿宋" w:hAnsi="仿宋" w:eastAsia="仿宋" w:cs="仿宋"/>
          <w:sz w:val="24"/>
        </w:rPr>
      </w:pPr>
      <w:r>
        <w:rPr>
          <w:rFonts w:hint="eastAsia" w:ascii="仿宋" w:hAnsi="仿宋" w:eastAsia="仿宋" w:cs="仿宋"/>
          <w:sz w:val="24"/>
        </w:rPr>
        <w:t>最小必要原则</w:t>
      </w:r>
    </w:p>
    <w:p>
      <w:pPr>
        <w:pStyle w:val="36"/>
        <w:numPr>
          <w:ilvl w:val="0"/>
          <w:numId w:val="10"/>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在采集数据前</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公开数据处理规则</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明示处理目的</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方式</w:t>
      </w:r>
      <w:r>
        <w:rPr>
          <w:rFonts w:hint="eastAsia" w:ascii="仿宋" w:hAnsi="仿宋" w:eastAsia="仿宋" w:cs="仿宋"/>
          <w:color w:val="000000"/>
          <w:kern w:val="0"/>
          <w:sz w:val="24"/>
          <w:lang w:bidi="ar"/>
        </w:rPr>
        <w:t>和范围，确保处理目的具备明确、合理性。</w:t>
      </w:r>
    </w:p>
    <w:p>
      <w:pPr>
        <w:pStyle w:val="36"/>
        <w:numPr>
          <w:ilvl w:val="0"/>
          <w:numId w:val="1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采取相应的管理策略、管理措施和技术手段实施有效管理，保证只采集与处理与目的直接相关的最小数据范围，不得过度收集数据。</w:t>
      </w:r>
    </w:p>
    <w:p>
      <w:pPr>
        <w:numPr>
          <w:ilvl w:val="2"/>
          <w:numId w:val="5"/>
        </w:numPr>
        <w:spacing w:line="360" w:lineRule="auto"/>
        <w:ind w:left="0" w:firstLine="200"/>
        <w:rPr>
          <w:rFonts w:ascii="仿宋" w:hAnsi="仿宋" w:eastAsia="仿宋" w:cs="仿宋"/>
          <w:sz w:val="24"/>
        </w:rPr>
      </w:pPr>
      <w:r>
        <w:rPr>
          <w:rFonts w:hint="eastAsia" w:ascii="仿宋" w:hAnsi="仿宋" w:eastAsia="仿宋" w:cs="仿宋"/>
          <w:sz w:val="24"/>
        </w:rPr>
        <w:t>最小授权原则</w:t>
      </w:r>
    </w:p>
    <w:p>
      <w:pPr>
        <w:pStyle w:val="36"/>
        <w:numPr>
          <w:ilvl w:val="0"/>
          <w:numId w:val="1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应严格控制数据活动中的数据访问权限，保证在满足业务需求的基础上最小化权限。</w:t>
      </w:r>
    </w:p>
    <w:p>
      <w:pPr>
        <w:pStyle w:val="36"/>
        <w:numPr>
          <w:ilvl w:val="0"/>
          <w:numId w:val="11"/>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公司应</w:t>
      </w:r>
      <w:r>
        <w:rPr>
          <w:rFonts w:hint="eastAsia" w:ascii="仿宋" w:hAnsi="仿宋" w:eastAsia="仿宋" w:cs="仿宋"/>
          <w:color w:val="000000"/>
          <w:kern w:val="0"/>
          <w:sz w:val="24"/>
          <w:lang w:bidi="ar"/>
        </w:rPr>
        <w:t>加强对数据访问授权申请审批流程的管理。</w:t>
      </w:r>
    </w:p>
    <w:p>
      <w:pPr>
        <w:pStyle w:val="36"/>
        <w:numPr>
          <w:ilvl w:val="0"/>
          <w:numId w:val="1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确保赋予数据活动主体的最小化操作权限和所需的最小数据集。</w:t>
      </w:r>
    </w:p>
    <w:p>
      <w:pPr>
        <w:pStyle w:val="36"/>
        <w:numPr>
          <w:ilvl w:val="0"/>
          <w:numId w:val="1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及时收回过期的数据访问权限。</w:t>
      </w:r>
    </w:p>
    <w:p>
      <w:pPr>
        <w:pStyle w:val="36"/>
        <w:numPr>
          <w:ilvl w:val="0"/>
          <w:numId w:val="1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保证在满足业务需求的基础上最小化权限，不得越权、私自处理数据。</w:t>
      </w:r>
    </w:p>
    <w:p>
      <w:pPr>
        <w:numPr>
          <w:ilvl w:val="2"/>
          <w:numId w:val="5"/>
        </w:numPr>
        <w:spacing w:line="360" w:lineRule="auto"/>
        <w:ind w:left="0" w:firstLine="200"/>
        <w:rPr>
          <w:rFonts w:ascii="仿宋" w:hAnsi="仿宋" w:eastAsia="仿宋" w:cs="仿宋"/>
          <w:sz w:val="24"/>
        </w:rPr>
      </w:pPr>
      <w:r>
        <w:rPr>
          <w:rFonts w:hint="eastAsia" w:ascii="仿宋" w:hAnsi="仿宋" w:eastAsia="仿宋" w:cs="仿宋"/>
          <w:color w:val="000000"/>
          <w:kern w:val="0"/>
          <w:sz w:val="24"/>
          <w:lang w:bidi="ar"/>
        </w:rPr>
        <w:t>目的明确原则</w:t>
      </w:r>
    </w:p>
    <w:p>
      <w:pPr>
        <w:pStyle w:val="36"/>
        <w:numPr>
          <w:ilvl w:val="0"/>
          <w:numId w:val="12"/>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数据处理目的要具备明确、清晰、合法和必要性等。</w:t>
      </w:r>
    </w:p>
    <w:p>
      <w:pPr>
        <w:numPr>
          <w:ilvl w:val="2"/>
          <w:numId w:val="5"/>
        </w:numPr>
        <w:spacing w:line="360" w:lineRule="auto"/>
        <w:ind w:left="0" w:firstLine="200"/>
        <w:rPr>
          <w:rFonts w:ascii="仿宋" w:hAnsi="仿宋" w:eastAsia="仿宋" w:cs="仿宋"/>
          <w:color w:val="000000"/>
          <w:kern w:val="0"/>
          <w:sz w:val="24"/>
          <w:lang w:bidi="ar"/>
        </w:rPr>
      </w:pPr>
      <w:r>
        <w:rPr>
          <w:rFonts w:hint="eastAsia" w:ascii="仿宋" w:hAnsi="仿宋" w:eastAsia="仿宋" w:cs="仿宋"/>
          <w:sz w:val="24"/>
        </w:rPr>
        <w:t>选择同意原则</w:t>
      </w:r>
    </w:p>
    <w:p>
      <w:pPr>
        <w:pStyle w:val="36"/>
        <w:numPr>
          <w:ilvl w:val="0"/>
          <w:numId w:val="1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向个人信息主体明示个人信息处理目的、方式、范围等规则，征求其授权同意。</w:t>
      </w:r>
    </w:p>
    <w:p>
      <w:pPr>
        <w:numPr>
          <w:ilvl w:val="2"/>
          <w:numId w:val="5"/>
        </w:numPr>
        <w:spacing w:line="360" w:lineRule="auto"/>
        <w:ind w:left="0" w:firstLine="200"/>
        <w:rPr>
          <w:rFonts w:ascii="仿宋" w:hAnsi="仿宋" w:eastAsia="仿宋" w:cs="仿宋"/>
          <w:sz w:val="24"/>
        </w:rPr>
      </w:pPr>
      <w:r>
        <w:rPr>
          <w:rFonts w:hint="eastAsia" w:ascii="仿宋" w:hAnsi="仿宋" w:eastAsia="仿宋" w:cs="仿宋"/>
          <w:color w:val="000000"/>
          <w:kern w:val="0"/>
          <w:sz w:val="24"/>
          <w:lang w:bidi="ar"/>
        </w:rPr>
        <w:t>主体参与原则</w:t>
      </w:r>
    </w:p>
    <w:p>
      <w:pPr>
        <w:pStyle w:val="36"/>
        <w:numPr>
          <w:ilvl w:val="0"/>
          <w:numId w:val="14"/>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向个人信息主体提供能够查询、更正、删除其个人信息，以及撤回授权同意、注销账户、投诉等方法。</w:t>
      </w:r>
    </w:p>
    <w:p>
      <w:pPr>
        <w:numPr>
          <w:ilvl w:val="2"/>
          <w:numId w:val="5"/>
        </w:numPr>
        <w:spacing w:line="360" w:lineRule="auto"/>
        <w:ind w:left="0" w:firstLine="200"/>
        <w:rPr>
          <w:rFonts w:ascii="仿宋" w:hAnsi="仿宋" w:eastAsia="仿宋" w:cs="仿宋"/>
          <w:sz w:val="24"/>
        </w:rPr>
      </w:pPr>
      <w:r>
        <w:rPr>
          <w:rFonts w:hint="eastAsia" w:ascii="仿宋" w:hAnsi="仿宋" w:eastAsia="仿宋" w:cs="仿宋"/>
          <w:sz w:val="24"/>
        </w:rPr>
        <w:t>安全合规原则</w:t>
      </w:r>
    </w:p>
    <w:p>
      <w:pPr>
        <w:widowControl/>
        <w:spacing w:line="360" w:lineRule="auto"/>
        <w:ind w:firstLine="480" w:firstLineChars="200"/>
        <w:rPr>
          <w:rFonts w:ascii="仿宋" w:hAnsi="仿宋" w:eastAsia="仿宋" w:cs="仿宋"/>
          <w:color w:val="000000"/>
          <w:kern w:val="0"/>
          <w:sz w:val="24"/>
          <w:lang w:bidi="ar"/>
        </w:rPr>
      </w:pPr>
      <w:r>
        <w:rPr>
          <w:rFonts w:ascii="仿宋" w:hAnsi="仿宋" w:eastAsia="仿宋" w:cs="仿宋"/>
          <w:color w:val="000000"/>
          <w:kern w:val="0"/>
          <w:sz w:val="24"/>
          <w:lang w:bidi="ar"/>
        </w:rPr>
        <w:t>公司应制定</w:t>
      </w:r>
      <w:r>
        <w:rPr>
          <w:rFonts w:hint="eastAsia" w:ascii="仿宋" w:hAnsi="仿宋" w:eastAsia="仿宋" w:cs="仿宋"/>
          <w:color w:val="000000"/>
          <w:kern w:val="0"/>
          <w:sz w:val="24"/>
          <w:lang w:bidi="ar"/>
        </w:rPr>
        <w:t>安全</w:t>
      </w:r>
      <w:r>
        <w:rPr>
          <w:rFonts w:ascii="仿宋" w:hAnsi="仿宋" w:eastAsia="仿宋" w:cs="仿宋"/>
          <w:color w:val="000000"/>
          <w:kern w:val="0"/>
          <w:sz w:val="24"/>
          <w:lang w:bidi="ar"/>
        </w:rPr>
        <w:t>规则</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管理规范</w:t>
      </w:r>
      <w:r>
        <w:rPr>
          <w:rFonts w:hint="eastAsia" w:ascii="仿宋" w:hAnsi="仿宋" w:eastAsia="仿宋" w:cs="仿宋"/>
          <w:color w:val="000000"/>
          <w:kern w:val="0"/>
          <w:sz w:val="24"/>
          <w:lang w:bidi="ar"/>
        </w:rPr>
        <w:t>和操作流程，采取相应的安全管理策略、管理措施和技术手段实施有效管理，</w:t>
      </w:r>
      <w:r>
        <w:rPr>
          <w:rFonts w:ascii="仿宋" w:hAnsi="仿宋" w:eastAsia="仿宋" w:cs="仿宋"/>
          <w:color w:val="000000"/>
          <w:kern w:val="0"/>
          <w:sz w:val="24"/>
          <w:lang w:bidi="ar"/>
        </w:rPr>
        <w:t>确保各项数据处理活动</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主要安全合规原则如下</w:t>
      </w:r>
      <w:r>
        <w:rPr>
          <w:rFonts w:hint="eastAsia" w:ascii="仿宋" w:hAnsi="仿宋" w:eastAsia="仿宋" w:cs="仿宋"/>
          <w:color w:val="000000"/>
          <w:kern w:val="0"/>
          <w:sz w:val="24"/>
          <w:lang w:bidi="ar"/>
        </w:rPr>
        <w:t>：</w:t>
      </w:r>
    </w:p>
    <w:p>
      <w:pPr>
        <w:pStyle w:val="36"/>
        <w:numPr>
          <w:ilvl w:val="0"/>
          <w:numId w:val="15"/>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公司应理解并遵从数据安全相关的法律法规、合同、标准等。</w:t>
      </w:r>
    </w:p>
    <w:p>
      <w:pPr>
        <w:pStyle w:val="36"/>
        <w:numPr>
          <w:ilvl w:val="0"/>
          <w:numId w:val="15"/>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正确处理个人信息、敏感数据和重要数据。</w:t>
      </w:r>
    </w:p>
    <w:p>
      <w:pPr>
        <w:pStyle w:val="36"/>
        <w:numPr>
          <w:ilvl w:val="0"/>
          <w:numId w:val="15"/>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实施合理的跨组织数据保护的策略和实践。</w:t>
      </w:r>
    </w:p>
    <w:p>
      <w:pPr>
        <w:numPr>
          <w:ilvl w:val="2"/>
          <w:numId w:val="5"/>
        </w:numPr>
        <w:spacing w:line="360" w:lineRule="auto"/>
        <w:ind w:left="0" w:firstLine="200"/>
        <w:rPr>
          <w:rFonts w:ascii="仿宋" w:hAnsi="仿宋" w:eastAsia="仿宋" w:cs="仿宋"/>
          <w:sz w:val="24"/>
        </w:rPr>
      </w:pPr>
      <w:r>
        <w:rPr>
          <w:rFonts w:ascii="仿宋" w:hAnsi="仿宋" w:eastAsia="仿宋" w:cs="仿宋"/>
          <w:sz w:val="24"/>
        </w:rPr>
        <w:t>可审计原则</w:t>
      </w:r>
    </w:p>
    <w:p>
      <w:pPr>
        <w:pStyle w:val="36"/>
        <w:numPr>
          <w:ilvl w:val="0"/>
          <w:numId w:val="16"/>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应对数据活动中的各项操作信息进行日志记录</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且保证日志记录不可伪造和篡改</w:t>
      </w:r>
      <w:r>
        <w:rPr>
          <w:rFonts w:hint="eastAsia" w:ascii="仿宋" w:hAnsi="仿宋" w:eastAsia="仿宋" w:cs="仿宋"/>
          <w:color w:val="000000"/>
          <w:kern w:val="0"/>
          <w:sz w:val="24"/>
          <w:lang w:bidi="ar"/>
        </w:rPr>
        <w:t>。</w:t>
      </w:r>
    </w:p>
    <w:p>
      <w:pPr>
        <w:pStyle w:val="36"/>
        <w:numPr>
          <w:ilvl w:val="0"/>
          <w:numId w:val="16"/>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采取有效技术措施保证对数据活动的所有操作可追溯</w:t>
      </w:r>
      <w:r>
        <w:rPr>
          <w:rFonts w:hint="eastAsia" w:ascii="仿宋" w:hAnsi="仿宋" w:eastAsia="仿宋" w:cs="仿宋"/>
          <w:color w:val="000000"/>
          <w:kern w:val="0"/>
          <w:sz w:val="24"/>
          <w:lang w:bidi="ar"/>
        </w:rPr>
        <w:t>。</w:t>
      </w:r>
    </w:p>
    <w:p>
      <w:pPr>
        <w:numPr>
          <w:ilvl w:val="2"/>
          <w:numId w:val="5"/>
        </w:numPr>
        <w:spacing w:line="360" w:lineRule="auto"/>
        <w:ind w:left="0" w:firstLine="200"/>
        <w:rPr>
          <w:rFonts w:ascii="仿宋" w:hAnsi="仿宋" w:eastAsia="仿宋" w:cs="仿宋"/>
          <w:sz w:val="24"/>
        </w:rPr>
      </w:pPr>
      <w:r>
        <w:rPr>
          <w:rFonts w:hint="eastAsia" w:ascii="仿宋" w:hAnsi="仿宋" w:eastAsia="仿宋" w:cs="仿宋"/>
          <w:sz w:val="24"/>
        </w:rPr>
        <w:t>安全基线通用原则</w:t>
      </w:r>
    </w:p>
    <w:p>
      <w:pPr>
        <w:pStyle w:val="36"/>
        <w:numPr>
          <w:ilvl w:val="0"/>
          <w:numId w:val="1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公司所有数据载体都应满足其承载数据的密级所对应的安全基线要求。</w:t>
      </w:r>
    </w:p>
    <w:p>
      <w:pPr>
        <w:pStyle w:val="36"/>
        <w:numPr>
          <w:ilvl w:val="0"/>
          <w:numId w:val="1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数据的所有者应根据数据安全要求，实施与之相匹配的数据安全防护措施。</w:t>
      </w:r>
    </w:p>
    <w:p>
      <w:pPr>
        <w:pStyle w:val="36"/>
        <w:widowControl/>
        <w:spacing w:line="360" w:lineRule="auto"/>
        <w:ind w:left="1120" w:firstLine="0" w:firstLineChars="0"/>
        <w:jc w:val="left"/>
        <w:rPr>
          <w:rFonts w:ascii="仿宋" w:hAnsi="仿宋" w:eastAsia="仿宋" w:cs="仿宋"/>
          <w:color w:val="000000"/>
          <w:kern w:val="0"/>
          <w:sz w:val="24"/>
          <w:lang w:bidi="ar"/>
        </w:rPr>
        <w:sectPr>
          <w:pgSz w:w="11906" w:h="16838"/>
          <w:pgMar w:top="720" w:right="720" w:bottom="720" w:left="720" w:header="851" w:footer="992" w:gutter="0"/>
          <w:cols w:space="425" w:num="1"/>
          <w:docGrid w:type="lines" w:linePitch="312" w:charSpace="0"/>
        </w:sectPr>
      </w:pPr>
    </w:p>
    <w:p>
      <w:pPr>
        <w:pStyle w:val="5"/>
        <w:numPr>
          <w:ilvl w:val="0"/>
          <w:numId w:val="3"/>
        </w:numPr>
        <w:jc w:val="center"/>
        <w:rPr>
          <w:rFonts w:hint="default" w:ascii="仿宋" w:hAnsi="仿宋" w:eastAsia="仿宋"/>
          <w:sz w:val="28"/>
          <w:szCs w:val="28"/>
        </w:rPr>
      </w:pPr>
      <w:r>
        <w:rPr>
          <w:rFonts w:ascii="仿宋" w:hAnsi="仿宋" w:eastAsia="仿宋"/>
          <w:sz w:val="28"/>
          <w:szCs w:val="28"/>
        </w:rPr>
        <w:t>数据安全角色和职责</w:t>
      </w:r>
    </w:p>
    <w:p>
      <w:pPr>
        <w:pStyle w:val="28"/>
        <w:ind w:left="0"/>
        <w:rPr>
          <w:rFonts w:ascii="仿宋" w:hAnsi="仿宋" w:cs="仿宋"/>
          <w:sz w:val="24"/>
        </w:rPr>
      </w:pPr>
      <w:r>
        <w:rPr>
          <w:rFonts w:hint="eastAsia" w:ascii="仿宋" w:hAnsi="仿宋" w:cs="仿宋"/>
          <w:sz w:val="24"/>
        </w:rPr>
        <w:t>组织架构和职责分工</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为更好地决策、推动和落实公司的数据安全管理工作，满足国家相关法规、行业监管要求以及公司数据安全要求，建立数据安全组织架构，主要分为数据安全委员会、数据安全管理小组和数据安全执行小组和数据安全审计小组四大组织，详细如图</w:t>
      </w:r>
      <w:r>
        <w:rPr>
          <w:rFonts w:ascii="仿宋" w:hAnsi="仿宋" w:eastAsia="仿宋" w:cs="仿宋"/>
          <w:color w:val="000000"/>
          <w:kern w:val="0"/>
          <w:sz w:val="24"/>
          <w:lang w:bidi="ar"/>
        </w:rPr>
        <w:t xml:space="preserve">1所示： </w:t>
      </w:r>
    </w:p>
    <w:p>
      <w:pPr>
        <w:widowControl/>
        <w:spacing w:line="360" w:lineRule="auto"/>
        <w:ind w:firstLine="283" w:firstLineChars="118"/>
        <w:rPr>
          <w:rFonts w:ascii="仿宋" w:hAnsi="仿宋" w:eastAsia="仿宋" w:cs="仿宋"/>
          <w:color w:val="000000"/>
          <w:kern w:val="0"/>
          <w:sz w:val="24"/>
          <w:lang w:bidi="ar"/>
        </w:rPr>
      </w:pPr>
      <w:r>
        <w:rPr>
          <w:rFonts w:ascii="仿宋" w:hAnsi="仿宋" w:eastAsia="仿宋" w:cs="仿宋"/>
          <w:color w:val="000000"/>
          <w:kern w:val="0"/>
          <w:sz w:val="24"/>
        </w:rPr>
        <w:drawing>
          <wp:inline distT="0" distB="0" distL="0" distR="0">
            <wp:extent cx="6645910" cy="385064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6645910" cy="3850640"/>
                    </a:xfrm>
                    <a:prstGeom prst="rect">
                      <a:avLst/>
                    </a:prstGeom>
                  </pic:spPr>
                </pic:pic>
              </a:graphicData>
            </a:graphic>
          </wp:inline>
        </w:drawing>
      </w:r>
    </w:p>
    <w:p>
      <w:pPr>
        <w:pStyle w:val="7"/>
        <w:jc w:val="center"/>
        <w:rPr>
          <w:rFonts w:ascii="仿宋" w:hAnsi="仿宋" w:eastAsia="仿宋" w:cs="仿宋"/>
          <w:color w:val="000000"/>
          <w:kern w:val="0"/>
          <w:sz w:val="24"/>
          <w:lang w:bidi="ar"/>
        </w:rPr>
      </w:pPr>
      <w:r>
        <w:rPr>
          <w:rFonts w:hint="eastAsia"/>
        </w:rPr>
        <w:t>图</w:t>
      </w:r>
      <w:r>
        <w:rPr>
          <w:rFonts w:hint="eastAsia" w:ascii="仿宋" w:hAnsi="仿宋" w:eastAsia="仿宋"/>
        </w:rPr>
        <w:t xml:space="preserve"> </w:t>
      </w:r>
      <w:r>
        <w:rPr>
          <w:rFonts w:ascii="仿宋" w:hAnsi="仿宋" w:eastAsia="仿宋"/>
        </w:rPr>
        <w:fldChar w:fldCharType="begin"/>
      </w:r>
      <w:r>
        <w:rPr>
          <w:rFonts w:ascii="仿宋" w:hAnsi="仿宋" w:eastAsia="仿宋"/>
        </w:rPr>
        <w:instrText xml:space="preserve"> </w:instrText>
      </w:r>
      <w:r>
        <w:rPr>
          <w:rFonts w:hint="eastAsia" w:ascii="仿宋" w:hAnsi="仿宋" w:eastAsia="仿宋"/>
        </w:rPr>
        <w:instrText xml:space="preserve">SEQ 图 \* ARABIC</w:instrText>
      </w:r>
      <w:r>
        <w:rPr>
          <w:rFonts w:ascii="仿宋" w:hAnsi="仿宋" w:eastAsia="仿宋"/>
        </w:rPr>
        <w:instrText xml:space="preserve"> </w:instrText>
      </w:r>
      <w:r>
        <w:rPr>
          <w:rFonts w:ascii="仿宋" w:hAnsi="仿宋" w:eastAsia="仿宋"/>
        </w:rPr>
        <w:fldChar w:fldCharType="separate"/>
      </w:r>
      <w:r>
        <w:rPr>
          <w:rFonts w:ascii="仿宋" w:hAnsi="仿宋" w:eastAsia="仿宋"/>
        </w:rPr>
        <w:t>1</w:t>
      </w:r>
      <w:r>
        <w:rPr>
          <w:rFonts w:ascii="仿宋" w:hAnsi="仿宋" w:eastAsia="仿宋"/>
        </w:rPr>
        <w:fldChar w:fldCharType="end"/>
      </w:r>
      <w:r>
        <w:rPr>
          <w:rFonts w:ascii="仿宋" w:hAnsi="仿宋" w:eastAsia="仿宋"/>
        </w:rPr>
        <w:t xml:space="preserve"> 数据安全组织架构图</w:t>
      </w:r>
    </w:p>
    <w:p>
      <w:pPr>
        <w:widowControl/>
        <w:spacing w:line="360" w:lineRule="auto"/>
        <w:ind w:firstLine="420" w:firstLineChars="200"/>
        <w:rPr>
          <w:rFonts w:ascii="仿宋" w:hAnsi="仿宋" w:eastAsia="仿宋" w:cs="仿宋"/>
        </w:rPr>
      </w:pPr>
    </w:p>
    <w:p>
      <w:pPr>
        <w:widowControl/>
        <w:spacing w:line="360" w:lineRule="auto"/>
        <w:ind w:firstLine="283" w:firstLineChars="118"/>
        <w:rPr>
          <w:rFonts w:ascii="仿宋" w:hAnsi="仿宋" w:eastAsia="仿宋" w:cs="仿宋"/>
          <w:color w:val="000000"/>
          <w:kern w:val="0"/>
          <w:sz w:val="24"/>
          <w:lang w:bidi="ar"/>
        </w:rPr>
      </w:pPr>
      <w:r>
        <w:rPr>
          <w:rFonts w:ascii="仿宋" w:hAnsi="仿宋" w:eastAsia="仿宋" w:cs="仿宋"/>
          <w:color w:val="000000"/>
          <w:kern w:val="0"/>
          <w:sz w:val="24"/>
          <w:lang w:bidi="ar"/>
        </w:rPr>
        <w:t>主要组织角色和职责分工如下</w:t>
      </w:r>
      <w:r>
        <w:rPr>
          <w:rFonts w:hint="eastAsia" w:ascii="仿宋" w:hAnsi="仿宋" w:eastAsia="仿宋" w:cs="仿宋"/>
          <w:color w:val="000000"/>
          <w:kern w:val="0"/>
          <w:sz w:val="24"/>
          <w:lang w:bidi="ar"/>
        </w:rPr>
        <w:t>：</w:t>
      </w:r>
    </w:p>
    <w:p>
      <w:pPr>
        <w:numPr>
          <w:ilvl w:val="2"/>
          <w:numId w:val="18"/>
        </w:numPr>
        <w:spacing w:line="360" w:lineRule="auto"/>
        <w:rPr>
          <w:rFonts w:ascii="仿宋" w:hAnsi="仿宋" w:eastAsia="仿宋" w:cs="仿宋"/>
          <w:sz w:val="24"/>
        </w:rPr>
      </w:pPr>
      <w:r>
        <w:rPr>
          <w:rFonts w:hint="eastAsia" w:ascii="仿宋" w:hAnsi="仿宋" w:eastAsia="仿宋" w:cs="仿宋"/>
          <w:sz w:val="24"/>
        </w:rPr>
        <w:t>数据安全委员会职责</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作为公司数据安全组织架构的最高决策层，主要成员包括</w:t>
      </w:r>
      <w:r>
        <w:rPr>
          <w:rFonts w:ascii="仿宋" w:hAnsi="仿宋" w:eastAsia="仿宋" w:cs="仿宋"/>
          <w:color w:val="000000"/>
          <w:kern w:val="0"/>
          <w:sz w:val="24"/>
        </w:rPr>
        <w:t>CTO</w:t>
      </w:r>
      <w:r>
        <w:rPr>
          <w:rFonts w:hint="eastAsia" w:ascii="仿宋" w:hAnsi="仿宋" w:eastAsia="仿宋" w:cs="仿宋"/>
          <w:color w:val="000000"/>
          <w:kern w:val="0"/>
          <w:sz w:val="24"/>
        </w:rPr>
        <w:t>、</w:t>
      </w:r>
      <w:r>
        <w:rPr>
          <w:rFonts w:ascii="仿宋" w:hAnsi="仿宋" w:eastAsia="仿宋" w:cs="仿宋"/>
          <w:color w:val="000000"/>
          <w:kern w:val="0"/>
          <w:sz w:val="24"/>
        </w:rPr>
        <w:t>各一级部门负责人</w:t>
      </w:r>
      <w:r>
        <w:rPr>
          <w:rFonts w:hint="eastAsia" w:ascii="仿宋" w:hAnsi="仿宋" w:eastAsia="仿宋" w:cs="仿宋"/>
          <w:color w:val="000000"/>
          <w:kern w:val="0"/>
          <w:sz w:val="24"/>
        </w:rPr>
        <w:t>。</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主要职责如下：</w:t>
      </w:r>
    </w:p>
    <w:p>
      <w:pPr>
        <w:pStyle w:val="36"/>
        <w:numPr>
          <w:ilvl w:val="0"/>
          <w:numId w:val="1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为公司数据安全提供必要的资源。</w:t>
      </w:r>
    </w:p>
    <w:p>
      <w:pPr>
        <w:pStyle w:val="36"/>
        <w:numPr>
          <w:ilvl w:val="0"/>
          <w:numId w:val="1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对重大数据安全活动做出决策。</w:t>
      </w:r>
    </w:p>
    <w:p>
      <w:pPr>
        <w:numPr>
          <w:ilvl w:val="2"/>
          <w:numId w:val="18"/>
        </w:numPr>
        <w:spacing w:line="360" w:lineRule="auto"/>
        <w:ind w:left="0" w:firstLine="200"/>
        <w:rPr>
          <w:rFonts w:ascii="仿宋" w:hAnsi="仿宋" w:eastAsia="仿宋" w:cs="仿宋"/>
          <w:sz w:val="24"/>
        </w:rPr>
      </w:pPr>
      <w:r>
        <w:rPr>
          <w:rFonts w:hint="eastAsia" w:ascii="仿宋" w:hAnsi="仿宋" w:eastAsia="仿宋" w:cs="仿宋"/>
          <w:sz w:val="24"/>
        </w:rPr>
        <w:t>数据安全管理小组职责</w:t>
      </w:r>
    </w:p>
    <w:p>
      <w:pPr>
        <w:widowControl/>
        <w:spacing w:line="360" w:lineRule="auto"/>
        <w:ind w:firstLine="480" w:firstLineChars="200"/>
        <w:rPr>
          <w:rFonts w:ascii="仿宋" w:hAnsi="仿宋" w:eastAsia="仿宋" w:cs="仿宋"/>
          <w:bCs/>
          <w:color w:val="000000"/>
          <w:kern w:val="0"/>
          <w:sz w:val="24"/>
        </w:rPr>
      </w:pPr>
      <w:r>
        <w:rPr>
          <w:rFonts w:hint="eastAsia" w:ascii="仿宋" w:hAnsi="仿宋" w:eastAsia="仿宋" w:cs="仿宋"/>
          <w:color w:val="000000"/>
          <w:kern w:val="0"/>
          <w:sz w:val="24"/>
        </w:rPr>
        <w:t>作为公司数据安全组织架构的管理层，主要成员包括信息安全部</w:t>
      </w:r>
      <w:r>
        <w:rPr>
          <w:rFonts w:hint="eastAsia" w:ascii="仿宋" w:hAnsi="仿宋" w:eastAsia="仿宋" w:cs="仿宋"/>
          <w:bCs/>
          <w:color w:val="000000"/>
          <w:kern w:val="0"/>
          <w:sz w:val="24"/>
        </w:rPr>
        <w:t>数据安全管理小组、各一级</w:t>
      </w:r>
      <w:r>
        <w:rPr>
          <w:rFonts w:hint="eastAsia" w:ascii="仿宋" w:hAnsi="仿宋" w:eastAsia="仿宋" w:cs="仿宋"/>
          <w:bCs/>
          <w:color w:val="000000"/>
          <w:kern w:val="0"/>
          <w:sz w:val="24"/>
          <w:lang w:eastAsia="zh-Hans"/>
        </w:rPr>
        <w:t>部门</w:t>
      </w:r>
      <w:r>
        <w:rPr>
          <w:rFonts w:hint="eastAsia" w:ascii="仿宋" w:hAnsi="仿宋" w:eastAsia="仿宋" w:cs="仿宋"/>
          <w:bCs/>
          <w:color w:val="000000"/>
          <w:kern w:val="0"/>
          <w:sz w:val="24"/>
        </w:rPr>
        <w:t>数据接口人。</w:t>
      </w:r>
    </w:p>
    <w:p>
      <w:pPr>
        <w:widowControl/>
        <w:spacing w:line="360" w:lineRule="auto"/>
        <w:ind w:firstLine="480" w:firstLineChars="200"/>
        <w:rPr>
          <w:rFonts w:ascii="仿宋" w:hAnsi="仿宋" w:eastAsia="仿宋" w:cs="仿宋"/>
          <w:bCs/>
          <w:color w:val="000000"/>
          <w:kern w:val="0"/>
          <w:sz w:val="24"/>
        </w:rPr>
      </w:pPr>
      <w:r>
        <w:rPr>
          <w:rFonts w:hint="eastAsia" w:ascii="仿宋" w:hAnsi="仿宋" w:eastAsia="仿宋" w:cs="仿宋"/>
          <w:bCs/>
          <w:color w:val="000000"/>
          <w:kern w:val="0"/>
          <w:sz w:val="24"/>
        </w:rPr>
        <w:t>主要职责如下：</w:t>
      </w:r>
    </w:p>
    <w:p>
      <w:pPr>
        <w:pStyle w:val="36"/>
        <w:numPr>
          <w:ilvl w:val="0"/>
          <w:numId w:val="2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负责按照数据安全委员会的决策，落地执行数据安全管理工作。</w:t>
      </w:r>
    </w:p>
    <w:p>
      <w:pPr>
        <w:pStyle w:val="36"/>
        <w:numPr>
          <w:ilvl w:val="0"/>
          <w:numId w:val="2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全局分析、掌控数据的数据安全风险，制定并落实数据安全相关制度和监管机制，推动数据安全工作的执行与监督管理。</w:t>
      </w:r>
    </w:p>
    <w:p>
      <w:pPr>
        <w:pStyle w:val="36"/>
        <w:numPr>
          <w:ilvl w:val="0"/>
          <w:numId w:val="2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协助数据安全执行人员（如各业务线／平台</w:t>
      </w:r>
      <w:r>
        <w:rPr>
          <w:rFonts w:ascii="仿宋" w:hAnsi="仿宋" w:eastAsia="仿宋" w:cs="仿宋"/>
          <w:color w:val="000000"/>
          <w:kern w:val="0"/>
          <w:sz w:val="24"/>
          <w:lang w:bidi="ar"/>
        </w:rPr>
        <w:t>/部门）结合各自业务场景，准确、合理地细化相关的数据安全操作规则与指南。</w:t>
      </w:r>
    </w:p>
    <w:p>
      <w:pPr>
        <w:numPr>
          <w:ilvl w:val="2"/>
          <w:numId w:val="18"/>
        </w:numPr>
        <w:spacing w:line="360" w:lineRule="auto"/>
        <w:rPr>
          <w:rFonts w:ascii="仿宋" w:hAnsi="仿宋" w:eastAsia="仿宋" w:cs="仿宋"/>
          <w:sz w:val="24"/>
        </w:rPr>
      </w:pPr>
      <w:r>
        <w:rPr>
          <w:rFonts w:ascii="仿宋" w:hAnsi="仿宋" w:eastAsia="仿宋" w:cs="仿宋"/>
          <w:color w:val="000000"/>
          <w:kern w:val="0"/>
          <w:sz w:val="24"/>
        </w:rPr>
        <w:t xml:space="preserve"> 数据安全执行小组职责</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作为公司数据安全</w:t>
      </w:r>
      <w:r>
        <w:rPr>
          <w:rFonts w:hint="eastAsia" w:ascii="仿宋" w:hAnsi="仿宋" w:eastAsia="仿宋" w:cs="仿宋"/>
          <w:bCs/>
          <w:color w:val="000000"/>
          <w:kern w:val="0"/>
          <w:sz w:val="24"/>
        </w:rPr>
        <w:t>组织架构的支持层，主要成员包括数据库管理员、数据仓库管理员、线下数据介质管理员等多种类型数据安全管理员</w:t>
      </w:r>
      <w:r>
        <w:rPr>
          <w:rFonts w:ascii="仿宋" w:hAnsi="仿宋" w:eastAsia="仿宋" w:cs="仿宋"/>
          <w:bCs/>
          <w:color w:val="000000"/>
          <w:kern w:val="0"/>
          <w:sz w:val="24"/>
        </w:rPr>
        <w:t xml:space="preserve">。  </w:t>
      </w:r>
    </w:p>
    <w:p>
      <w:pPr>
        <w:widowControl/>
        <w:spacing w:line="360" w:lineRule="auto"/>
        <w:ind w:firstLine="480" w:firstLineChars="200"/>
        <w:rPr>
          <w:rFonts w:ascii="仿宋" w:hAnsi="仿宋" w:eastAsia="仿宋" w:cs="仿宋"/>
          <w:color w:val="000000"/>
          <w:kern w:val="0"/>
          <w:sz w:val="24"/>
        </w:rPr>
      </w:pPr>
      <w:r>
        <w:rPr>
          <w:rFonts w:ascii="仿宋" w:hAnsi="仿宋" w:eastAsia="仿宋" w:cs="仿宋"/>
          <w:color w:val="000000"/>
          <w:kern w:val="0"/>
          <w:sz w:val="24"/>
        </w:rPr>
        <w:t>主要职责</w:t>
      </w:r>
      <w:r>
        <w:rPr>
          <w:rFonts w:hint="eastAsia" w:ascii="仿宋" w:hAnsi="仿宋" w:eastAsia="仿宋" w:cs="仿宋"/>
          <w:color w:val="000000"/>
          <w:kern w:val="0"/>
          <w:sz w:val="24"/>
        </w:rPr>
        <w:t>如下：</w:t>
      </w:r>
    </w:p>
    <w:p>
      <w:pPr>
        <w:pStyle w:val="36"/>
        <w:numPr>
          <w:ilvl w:val="0"/>
          <w:numId w:val="2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严格遵守公司数据安全管理规范的要求，从管理和技术两个层面，严格落实执行日常数据安全工作，并做好相关监控与审计工作。</w:t>
      </w:r>
    </w:p>
    <w:p>
      <w:pPr>
        <w:pStyle w:val="36"/>
        <w:numPr>
          <w:ilvl w:val="0"/>
          <w:numId w:val="21"/>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严格对各类数据的访问和操作行为等进行日志监控与审计</w:t>
      </w:r>
      <w:r>
        <w:rPr>
          <w:rFonts w:hint="eastAsia" w:ascii="仿宋" w:hAnsi="仿宋" w:eastAsia="仿宋" w:cs="仿宋"/>
          <w:color w:val="000000"/>
          <w:kern w:val="0"/>
          <w:sz w:val="24"/>
          <w:lang w:bidi="ar"/>
        </w:rPr>
        <w:t>，做好相应日志记录，及时判断风险并处理风险。</w:t>
      </w:r>
    </w:p>
    <w:p>
      <w:pPr>
        <w:pStyle w:val="36"/>
        <w:numPr>
          <w:ilvl w:val="0"/>
          <w:numId w:val="2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数据安全执行小组应结合各自业务场景，细化数据安全操作规则与指南。</w:t>
      </w:r>
    </w:p>
    <w:p>
      <w:pPr>
        <w:numPr>
          <w:ilvl w:val="2"/>
          <w:numId w:val="18"/>
        </w:numPr>
        <w:spacing w:line="360" w:lineRule="auto"/>
        <w:rPr>
          <w:rFonts w:ascii="仿宋" w:hAnsi="仿宋" w:eastAsia="仿宋" w:cs="仿宋"/>
          <w:color w:val="000000"/>
          <w:kern w:val="0"/>
          <w:sz w:val="24"/>
          <w:lang w:bidi="ar"/>
        </w:rPr>
      </w:pPr>
      <w:r>
        <w:rPr>
          <w:rFonts w:ascii="仿宋" w:hAnsi="仿宋" w:eastAsia="仿宋" w:cs="仿宋"/>
          <w:color w:val="000000"/>
          <w:kern w:val="0"/>
          <w:sz w:val="24"/>
        </w:rPr>
        <w:t>数据安全</w:t>
      </w:r>
      <w:r>
        <w:rPr>
          <w:rFonts w:hint="eastAsia" w:ascii="仿宋" w:hAnsi="仿宋" w:eastAsia="仿宋" w:cs="仿宋"/>
          <w:color w:val="000000"/>
          <w:kern w:val="0"/>
          <w:sz w:val="24"/>
        </w:rPr>
        <w:t>审计</w:t>
      </w:r>
      <w:r>
        <w:rPr>
          <w:rFonts w:ascii="仿宋" w:hAnsi="仿宋" w:eastAsia="仿宋" w:cs="仿宋"/>
          <w:color w:val="000000"/>
          <w:kern w:val="0"/>
          <w:sz w:val="24"/>
        </w:rPr>
        <w:t>小组职责</w:t>
      </w:r>
    </w:p>
    <w:p>
      <w:pPr>
        <w:pStyle w:val="36"/>
        <w:spacing w:line="360" w:lineRule="auto"/>
        <w:ind w:left="1200"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作为</w:t>
      </w:r>
      <w:r>
        <w:rPr>
          <w:rFonts w:ascii="仿宋" w:hAnsi="仿宋" w:eastAsia="仿宋" w:cs="仿宋"/>
          <w:color w:val="000000"/>
          <w:kern w:val="0"/>
          <w:sz w:val="24"/>
          <w:lang w:bidi="ar"/>
        </w:rPr>
        <w:t>公司数据安全组织架构</w:t>
      </w:r>
      <w:r>
        <w:rPr>
          <w:rFonts w:hint="eastAsia" w:ascii="仿宋" w:hAnsi="仿宋" w:eastAsia="仿宋" w:cs="仿宋"/>
          <w:color w:val="000000"/>
          <w:kern w:val="0"/>
          <w:sz w:val="24"/>
          <w:lang w:bidi="ar"/>
        </w:rPr>
        <w:t>以上</w:t>
      </w:r>
      <w:r>
        <w:rPr>
          <w:rFonts w:ascii="仿宋" w:hAnsi="仿宋" w:eastAsia="仿宋" w:cs="仿宋"/>
          <w:color w:val="000000"/>
          <w:kern w:val="0"/>
          <w:sz w:val="24"/>
          <w:lang w:bidi="ar"/>
        </w:rPr>
        <w:t>三层组织</w:t>
      </w:r>
      <w:r>
        <w:rPr>
          <w:rFonts w:hint="eastAsia" w:ascii="仿宋" w:hAnsi="仿宋" w:eastAsia="仿宋" w:cs="仿宋"/>
          <w:color w:val="000000"/>
          <w:kern w:val="0"/>
          <w:sz w:val="24"/>
          <w:lang w:bidi="ar"/>
        </w:rPr>
        <w:t>的</w:t>
      </w:r>
      <w:r>
        <w:rPr>
          <w:rFonts w:ascii="仿宋" w:hAnsi="仿宋" w:eastAsia="仿宋" w:cs="仿宋"/>
          <w:color w:val="000000"/>
          <w:kern w:val="0"/>
          <w:sz w:val="24"/>
          <w:lang w:bidi="ar"/>
        </w:rPr>
        <w:t>监督层</w:t>
      </w:r>
      <w:r>
        <w:rPr>
          <w:rFonts w:hint="eastAsia" w:ascii="仿宋" w:hAnsi="仿宋" w:eastAsia="仿宋" w:cs="仿宋"/>
          <w:color w:val="000000"/>
          <w:kern w:val="0"/>
          <w:sz w:val="24"/>
          <w:lang w:bidi="ar"/>
        </w:rPr>
        <w:t>，主要</w:t>
      </w:r>
      <w:r>
        <w:rPr>
          <w:rFonts w:ascii="仿宋" w:hAnsi="仿宋" w:eastAsia="仿宋" w:cs="仿宋"/>
          <w:color w:val="000000"/>
          <w:kern w:val="0"/>
          <w:sz w:val="24"/>
          <w:lang w:bidi="ar"/>
        </w:rPr>
        <w:t>成员包含数据安全审计管理员</w:t>
      </w:r>
      <w:r>
        <w:rPr>
          <w:rFonts w:hint="eastAsia" w:ascii="仿宋" w:hAnsi="仿宋" w:eastAsia="仿宋" w:cs="仿宋"/>
          <w:color w:val="000000"/>
          <w:kern w:val="0"/>
          <w:sz w:val="24"/>
          <w:lang w:bidi="ar"/>
        </w:rPr>
        <w:t>。</w:t>
      </w:r>
    </w:p>
    <w:p>
      <w:pPr>
        <w:pStyle w:val="36"/>
        <w:spacing w:line="360" w:lineRule="auto"/>
        <w:ind w:left="1200" w:firstLine="0" w:firstLineChars="0"/>
        <w:rPr>
          <w:rFonts w:ascii="仿宋" w:hAnsi="仿宋" w:eastAsia="仿宋" w:cs="仿宋"/>
          <w:color w:val="000000"/>
          <w:kern w:val="0"/>
          <w:sz w:val="24"/>
          <w:lang w:bidi="ar"/>
        </w:rPr>
      </w:pPr>
      <w:r>
        <w:rPr>
          <w:rFonts w:ascii="仿宋" w:hAnsi="仿宋" w:eastAsia="仿宋" w:cs="仿宋"/>
          <w:color w:val="000000"/>
          <w:kern w:val="0"/>
          <w:sz w:val="24"/>
          <w:lang w:bidi="ar"/>
        </w:rPr>
        <w:t>主要职责如下</w:t>
      </w:r>
      <w:r>
        <w:rPr>
          <w:rFonts w:hint="eastAsia" w:ascii="仿宋" w:hAnsi="仿宋" w:eastAsia="仿宋" w:cs="仿宋"/>
          <w:color w:val="000000"/>
          <w:kern w:val="0"/>
          <w:sz w:val="24"/>
          <w:lang w:bidi="ar"/>
        </w:rPr>
        <w:t>：</w:t>
      </w:r>
    </w:p>
    <w:p>
      <w:pPr>
        <w:pStyle w:val="36"/>
        <w:numPr>
          <w:ilvl w:val="0"/>
          <w:numId w:val="22"/>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定期执行</w:t>
      </w:r>
      <w:r>
        <w:rPr>
          <w:rFonts w:ascii="仿宋" w:hAnsi="仿宋" w:eastAsia="仿宋" w:cs="仿宋"/>
          <w:color w:val="000000"/>
          <w:kern w:val="0"/>
          <w:sz w:val="24"/>
          <w:lang w:bidi="ar"/>
        </w:rPr>
        <w:t>数据安全内部审计工作</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发现数据安全问题</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及时推动整改</w:t>
      </w:r>
      <w:r>
        <w:rPr>
          <w:rFonts w:hint="eastAsia" w:ascii="仿宋" w:hAnsi="仿宋" w:eastAsia="仿宋" w:cs="仿宋"/>
          <w:color w:val="000000"/>
          <w:kern w:val="0"/>
          <w:sz w:val="24"/>
          <w:lang w:bidi="ar"/>
        </w:rPr>
        <w:t>。</w:t>
      </w:r>
    </w:p>
    <w:p>
      <w:pPr>
        <w:pStyle w:val="36"/>
        <w:numPr>
          <w:ilvl w:val="0"/>
          <w:numId w:val="22"/>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负责对数据安全决策层</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管理层及执行层的数据安全治理工作进行监督审计</w:t>
      </w:r>
      <w:r>
        <w:rPr>
          <w:rFonts w:hint="eastAsia" w:ascii="仿宋" w:hAnsi="仿宋" w:eastAsia="仿宋" w:cs="仿宋"/>
          <w:color w:val="000000"/>
          <w:kern w:val="0"/>
          <w:sz w:val="24"/>
          <w:lang w:bidi="ar"/>
        </w:rPr>
        <w:t>。</w:t>
      </w:r>
    </w:p>
    <w:p>
      <w:pPr>
        <w:pStyle w:val="36"/>
        <w:numPr>
          <w:ilvl w:val="0"/>
          <w:numId w:val="22"/>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配合外部审计机构进行数据安全审计工作</w:t>
      </w:r>
      <w:r>
        <w:rPr>
          <w:rFonts w:hint="eastAsia" w:ascii="仿宋" w:hAnsi="仿宋" w:eastAsia="仿宋" w:cs="仿宋"/>
          <w:color w:val="000000"/>
          <w:kern w:val="0"/>
          <w:sz w:val="24"/>
          <w:lang w:bidi="ar"/>
        </w:rPr>
        <w:t>。</w:t>
      </w:r>
    </w:p>
    <w:p>
      <w:pPr>
        <w:pStyle w:val="36"/>
        <w:numPr>
          <w:ilvl w:val="0"/>
          <w:numId w:val="22"/>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保管数据安全审计报告</w:t>
      </w:r>
      <w:r>
        <w:rPr>
          <w:rFonts w:hint="eastAsia" w:ascii="仿宋" w:hAnsi="仿宋" w:eastAsia="仿宋" w:cs="仿宋"/>
          <w:color w:val="000000"/>
          <w:kern w:val="0"/>
          <w:sz w:val="24"/>
          <w:lang w:bidi="ar"/>
        </w:rPr>
        <w:t>，为外部审计机构开展审计工作提供有效依据。</w:t>
      </w:r>
    </w:p>
    <w:p>
      <w:pPr>
        <w:pStyle w:val="36"/>
        <w:spacing w:line="360" w:lineRule="auto"/>
        <w:ind w:left="1200" w:firstLine="0" w:firstLineChars="0"/>
        <w:rPr>
          <w:rFonts w:ascii="仿宋" w:hAnsi="仿宋" w:eastAsia="仿宋" w:cs="仿宋"/>
          <w:color w:val="000000"/>
          <w:kern w:val="0"/>
          <w:sz w:val="24"/>
          <w:lang w:bidi="ar"/>
        </w:rPr>
        <w:sectPr>
          <w:pgSz w:w="11906" w:h="16838"/>
          <w:pgMar w:top="720" w:right="720" w:bottom="720" w:left="720" w:header="851" w:footer="992" w:gutter="0"/>
          <w:cols w:space="425" w:num="1"/>
          <w:docGrid w:type="lines" w:linePitch="312" w:charSpace="0"/>
        </w:sectPr>
      </w:pPr>
    </w:p>
    <w:p>
      <w:pPr>
        <w:pStyle w:val="28"/>
        <w:ind w:left="0"/>
        <w:rPr>
          <w:rFonts w:ascii="仿宋" w:hAnsi="仿宋" w:cs="仿宋"/>
          <w:sz w:val="24"/>
        </w:rPr>
      </w:pPr>
      <w:r>
        <w:rPr>
          <w:rFonts w:ascii="仿宋" w:hAnsi="仿宋" w:cs="仿宋"/>
          <w:sz w:val="24"/>
        </w:rPr>
        <w:t>组织架构成员及职责分工</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定岗定员，专业化分工，详细如表</w:t>
      </w:r>
      <w:r>
        <w:rPr>
          <w:rFonts w:ascii="仿宋" w:hAnsi="仿宋" w:eastAsia="仿宋" w:cs="仿宋"/>
          <w:color w:val="000000"/>
          <w:kern w:val="0"/>
          <w:sz w:val="24"/>
        </w:rPr>
        <w:t>1所示：</w:t>
      </w:r>
    </w:p>
    <w:tbl>
      <w:tblPr>
        <w:tblStyle w:val="17"/>
        <w:tblW w:w="10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2410"/>
        <w:gridCol w:w="6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blHeader/>
          <w:jc w:val="center"/>
        </w:trPr>
        <w:tc>
          <w:tcPr>
            <w:tcW w:w="1075" w:type="dxa"/>
            <w:shd w:val="clear" w:color="auto" w:fill="D8D8D8" w:themeFill="background1" w:themeFillShade="D9"/>
            <w:vAlign w:val="center"/>
          </w:tcPr>
          <w:p>
            <w:pPr>
              <w:widowControl/>
              <w:spacing w:line="360" w:lineRule="auto"/>
              <w:jc w:val="center"/>
              <w:rPr>
                <w:rFonts w:ascii="仿宋" w:hAnsi="仿宋" w:eastAsia="仿宋" w:cs="仿宋"/>
                <w:b/>
                <w:bCs/>
                <w:kern w:val="0"/>
                <w:sz w:val="24"/>
              </w:rPr>
            </w:pPr>
            <w:r>
              <w:rPr>
                <w:rFonts w:hint="eastAsia" w:ascii="仿宋" w:hAnsi="仿宋" w:eastAsia="仿宋" w:cs="仿宋"/>
                <w:b/>
                <w:bCs/>
                <w:kern w:val="0"/>
                <w:sz w:val="24"/>
              </w:rPr>
              <w:t>序号</w:t>
            </w:r>
          </w:p>
        </w:tc>
        <w:tc>
          <w:tcPr>
            <w:tcW w:w="2410" w:type="dxa"/>
            <w:shd w:val="clear" w:color="auto" w:fill="D8D8D8" w:themeFill="background1" w:themeFillShade="D9"/>
            <w:vAlign w:val="center"/>
          </w:tcPr>
          <w:p>
            <w:pPr>
              <w:widowControl/>
              <w:spacing w:line="360" w:lineRule="auto"/>
              <w:jc w:val="center"/>
              <w:rPr>
                <w:rFonts w:ascii="仿宋" w:hAnsi="仿宋" w:eastAsia="仿宋" w:cs="仿宋"/>
                <w:b/>
                <w:bCs/>
                <w:kern w:val="0"/>
                <w:sz w:val="24"/>
              </w:rPr>
            </w:pPr>
            <w:r>
              <w:rPr>
                <w:rFonts w:hint="eastAsia" w:ascii="仿宋" w:hAnsi="仿宋" w:eastAsia="仿宋" w:cs="仿宋"/>
                <w:b/>
                <w:bCs/>
                <w:kern w:val="0"/>
                <w:sz w:val="24"/>
              </w:rPr>
              <w:t>组织成员</w:t>
            </w:r>
          </w:p>
        </w:tc>
        <w:tc>
          <w:tcPr>
            <w:tcW w:w="6863" w:type="dxa"/>
            <w:shd w:val="clear" w:color="auto" w:fill="D8D8D8" w:themeFill="background1" w:themeFillShade="D9"/>
            <w:vAlign w:val="center"/>
          </w:tcPr>
          <w:p>
            <w:pPr>
              <w:widowControl/>
              <w:spacing w:line="360" w:lineRule="auto"/>
              <w:jc w:val="center"/>
              <w:rPr>
                <w:rFonts w:ascii="仿宋" w:hAnsi="仿宋" w:eastAsia="仿宋" w:cs="仿宋"/>
                <w:b/>
                <w:bCs/>
                <w:kern w:val="0"/>
                <w:sz w:val="24"/>
              </w:rPr>
            </w:pPr>
            <w:r>
              <w:rPr>
                <w:rFonts w:hint="eastAsia" w:ascii="仿宋" w:hAnsi="仿宋" w:eastAsia="仿宋" w:cs="仿宋"/>
                <w:b/>
                <w:bCs/>
                <w:kern w:val="0"/>
                <w:sz w:val="24"/>
              </w:rPr>
              <w:t>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5" w:hRule="atLeast"/>
          <w:jc w:val="center"/>
        </w:trPr>
        <w:tc>
          <w:tcPr>
            <w:tcW w:w="1075" w:type="dxa"/>
            <w:shd w:val="clear" w:color="auto" w:fill="auto"/>
            <w:vAlign w:val="center"/>
          </w:tcPr>
          <w:p>
            <w:pPr>
              <w:widowControl/>
              <w:spacing w:line="360" w:lineRule="auto"/>
              <w:jc w:val="center"/>
              <w:rPr>
                <w:rFonts w:ascii="仿宋" w:hAnsi="仿宋" w:eastAsia="仿宋" w:cs="仿宋"/>
                <w:bCs/>
                <w:kern w:val="0"/>
                <w:sz w:val="24"/>
              </w:rPr>
            </w:pPr>
            <w:r>
              <w:rPr>
                <w:rFonts w:ascii="仿宋" w:hAnsi="仿宋" w:eastAsia="仿宋" w:cs="仿宋"/>
                <w:bCs/>
                <w:kern w:val="0"/>
                <w:sz w:val="24"/>
              </w:rPr>
              <w:t>1</w:t>
            </w:r>
          </w:p>
        </w:tc>
        <w:tc>
          <w:tcPr>
            <w:tcW w:w="2410" w:type="dxa"/>
            <w:shd w:val="clear" w:color="auto" w:fill="auto"/>
            <w:vAlign w:val="center"/>
          </w:tcPr>
          <w:p>
            <w:pPr>
              <w:widowControl/>
              <w:spacing w:line="360" w:lineRule="auto"/>
              <w:jc w:val="center"/>
              <w:rPr>
                <w:rFonts w:ascii="仿宋" w:hAnsi="仿宋" w:eastAsia="仿宋" w:cs="仿宋"/>
                <w:color w:val="000000"/>
                <w:kern w:val="0"/>
                <w:sz w:val="24"/>
              </w:rPr>
            </w:pPr>
            <w:r>
              <w:rPr>
                <w:rFonts w:ascii="仿宋" w:hAnsi="仿宋" w:eastAsia="仿宋" w:cs="仿宋"/>
                <w:color w:val="000000"/>
                <w:kern w:val="0"/>
                <w:sz w:val="24"/>
              </w:rPr>
              <w:t>CTO</w:t>
            </w:r>
          </w:p>
        </w:tc>
        <w:tc>
          <w:tcPr>
            <w:tcW w:w="6863" w:type="dxa"/>
            <w:shd w:val="clear" w:color="auto" w:fill="auto"/>
            <w:vAlign w:val="center"/>
          </w:tcPr>
          <w:p>
            <w:pPr>
              <w:widowControl/>
              <w:numPr>
                <w:ilvl w:val="0"/>
                <w:numId w:val="23"/>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为公司数据的安全提供必要的资源，包括为数据安全工作提供人力、财力、物力保障等。</w:t>
            </w:r>
          </w:p>
          <w:p>
            <w:pPr>
              <w:widowControl/>
              <w:numPr>
                <w:ilvl w:val="0"/>
                <w:numId w:val="23"/>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对重大数据安全事项进行决策，包括建设方案、奖惩机制等。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3" w:hRule="atLeast"/>
          <w:jc w:val="center"/>
        </w:trPr>
        <w:tc>
          <w:tcPr>
            <w:tcW w:w="1075" w:type="dxa"/>
            <w:shd w:val="clear" w:color="auto" w:fill="auto"/>
            <w:vAlign w:val="center"/>
          </w:tcPr>
          <w:p>
            <w:pPr>
              <w:widowControl/>
              <w:spacing w:line="360" w:lineRule="auto"/>
              <w:jc w:val="center"/>
              <w:rPr>
                <w:rFonts w:ascii="仿宋" w:hAnsi="仿宋" w:eastAsia="仿宋" w:cs="仿宋"/>
                <w:bCs/>
                <w:kern w:val="0"/>
                <w:sz w:val="24"/>
              </w:rPr>
            </w:pPr>
            <w:r>
              <w:rPr>
                <w:rFonts w:ascii="仿宋" w:hAnsi="仿宋" w:eastAsia="仿宋" w:cs="仿宋"/>
                <w:bCs/>
                <w:kern w:val="0"/>
                <w:sz w:val="24"/>
              </w:rPr>
              <w:t>2</w:t>
            </w:r>
          </w:p>
        </w:tc>
        <w:tc>
          <w:tcPr>
            <w:tcW w:w="2410" w:type="dxa"/>
            <w:shd w:val="clear" w:color="auto" w:fill="auto"/>
            <w:vAlign w:val="center"/>
          </w:tcPr>
          <w:p>
            <w:pPr>
              <w:widowControl/>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各一级部门负责人</w:t>
            </w:r>
          </w:p>
        </w:tc>
        <w:tc>
          <w:tcPr>
            <w:tcW w:w="6863" w:type="dxa"/>
            <w:shd w:val="clear" w:color="auto" w:fill="auto"/>
            <w:vAlign w:val="center"/>
          </w:tcPr>
          <w:p>
            <w:pPr>
              <w:widowControl/>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各一级部门负责人是本部门的数据控制者，承担所负责业务线的数据安全最终责任，主要职责包括：</w:t>
            </w:r>
          </w:p>
          <w:p>
            <w:pPr>
              <w:widowControl/>
              <w:numPr>
                <w:ilvl w:val="0"/>
                <w:numId w:val="24"/>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对本部门内部的数据安全活动和项目提供资源，包括为数据安全工作提供人力、财力、物力保障等。</w:t>
            </w:r>
          </w:p>
          <w:p>
            <w:pPr>
              <w:widowControl/>
              <w:numPr>
                <w:ilvl w:val="0"/>
                <w:numId w:val="24"/>
              </w:numPr>
              <w:spacing w:line="360" w:lineRule="auto"/>
              <w:rPr>
                <w:rFonts w:ascii="仿宋" w:hAnsi="仿宋" w:eastAsia="仿宋" w:cs="仿宋"/>
                <w:color w:val="000000"/>
                <w:kern w:val="0"/>
                <w:sz w:val="24"/>
              </w:rPr>
            </w:pPr>
            <w:r>
              <w:rPr>
                <w:rFonts w:ascii="仿宋" w:hAnsi="仿宋" w:eastAsia="仿宋" w:cs="仿宋"/>
                <w:color w:val="000000"/>
                <w:kern w:val="0"/>
                <w:sz w:val="24"/>
              </w:rPr>
              <w:t>参与有关信息处理活动的重要决策</w:t>
            </w:r>
            <w:r>
              <w:rPr>
                <w:rFonts w:hint="eastAsia" w:ascii="仿宋" w:hAnsi="仿宋" w:eastAsia="仿宋" w:cs="仿宋"/>
                <w:color w:val="000000"/>
                <w:kern w:val="0"/>
                <w:sz w:val="24"/>
              </w:rPr>
              <w:t>，</w:t>
            </w:r>
            <w:r>
              <w:rPr>
                <w:rFonts w:ascii="仿宋" w:hAnsi="仿宋" w:eastAsia="仿宋" w:cs="仿宋"/>
                <w:color w:val="000000"/>
                <w:kern w:val="0"/>
                <w:sz w:val="24"/>
              </w:rPr>
              <w:t>直接向CTO汇报工作</w:t>
            </w:r>
            <w:r>
              <w:rPr>
                <w:rFonts w:hint="eastAsia" w:ascii="仿宋" w:hAnsi="仿宋" w:eastAsia="仿宋" w:cs="仿宋"/>
                <w:color w:val="000000"/>
                <w:kern w:val="0"/>
                <w:sz w:val="24"/>
              </w:rPr>
              <w:t>。</w:t>
            </w:r>
          </w:p>
          <w:p>
            <w:pPr>
              <w:widowControl/>
              <w:numPr>
                <w:ilvl w:val="0"/>
                <w:numId w:val="24"/>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指派本部门内部的一级数据接口人（可以指定为自己，也可根据不同业务职能指派多个接口人）。</w:t>
            </w:r>
          </w:p>
          <w:p>
            <w:pPr>
              <w:widowControl/>
              <w:numPr>
                <w:ilvl w:val="0"/>
                <w:numId w:val="24"/>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数据安全的审批职责可以下放给数据接口人，但承担所负责业务线的数据安全最终责任。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 w:hRule="atLeast"/>
          <w:jc w:val="center"/>
        </w:trPr>
        <w:tc>
          <w:tcPr>
            <w:tcW w:w="1075" w:type="dxa"/>
            <w:shd w:val="clear" w:color="auto" w:fill="auto"/>
            <w:vAlign w:val="center"/>
          </w:tcPr>
          <w:p>
            <w:pPr>
              <w:widowControl/>
              <w:spacing w:line="360" w:lineRule="auto"/>
              <w:jc w:val="center"/>
              <w:rPr>
                <w:rFonts w:ascii="仿宋" w:hAnsi="仿宋" w:eastAsia="仿宋" w:cs="仿宋"/>
                <w:bCs/>
                <w:kern w:val="0"/>
                <w:sz w:val="24"/>
              </w:rPr>
            </w:pPr>
            <w:r>
              <w:rPr>
                <w:rFonts w:ascii="仿宋" w:hAnsi="仿宋" w:eastAsia="仿宋" w:cs="仿宋"/>
                <w:bCs/>
                <w:kern w:val="0"/>
                <w:sz w:val="24"/>
              </w:rPr>
              <w:t>3</w:t>
            </w:r>
          </w:p>
        </w:tc>
        <w:tc>
          <w:tcPr>
            <w:tcW w:w="2410" w:type="dxa"/>
            <w:shd w:val="clear" w:color="auto" w:fill="auto"/>
            <w:vAlign w:val="center"/>
          </w:tcPr>
          <w:p>
            <w:pPr>
              <w:widowControl/>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信息安全部</w:t>
            </w:r>
          </w:p>
          <w:p>
            <w:pPr>
              <w:widowControl/>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数据安全管理小组成员</w:t>
            </w:r>
          </w:p>
        </w:tc>
        <w:tc>
          <w:tcPr>
            <w:tcW w:w="6863" w:type="dxa"/>
            <w:shd w:val="clear" w:color="auto" w:fill="auto"/>
            <w:vAlign w:val="center"/>
          </w:tcPr>
          <w:p>
            <w:pPr>
              <w:widowControl/>
              <w:spacing w:line="360" w:lineRule="auto"/>
              <w:rPr>
                <w:rFonts w:ascii="仿宋" w:hAnsi="仿宋" w:eastAsia="仿宋" w:cs="仿宋"/>
                <w:color w:val="000000"/>
                <w:kern w:val="0"/>
                <w:sz w:val="24"/>
              </w:rPr>
            </w:pPr>
            <w:r>
              <w:rPr>
                <w:rFonts w:hint="eastAsia" w:ascii="仿宋" w:hAnsi="仿宋" w:eastAsia="仿宋" w:cs="仿宋"/>
                <w:color w:val="000000"/>
                <w:kern w:val="0"/>
                <w:sz w:val="24"/>
              </w:rPr>
              <w:t>由信息安全部组建，主要职责为：</w:t>
            </w:r>
          </w:p>
          <w:p>
            <w:pPr>
              <w:widowControl/>
              <w:numPr>
                <w:ilvl w:val="0"/>
                <w:numId w:val="25"/>
              </w:numPr>
              <w:spacing w:line="360" w:lineRule="auto"/>
              <w:rPr>
                <w:rFonts w:ascii="仿宋" w:hAnsi="仿宋" w:eastAsia="仿宋" w:cs="仿宋"/>
                <w:color w:val="000000"/>
                <w:kern w:val="0"/>
                <w:sz w:val="24"/>
              </w:rPr>
            </w:pPr>
            <w:r>
              <w:rPr>
                <w:rFonts w:ascii="仿宋" w:hAnsi="仿宋" w:eastAsia="仿宋" w:cs="仿宋"/>
                <w:color w:val="000000"/>
                <w:kern w:val="0"/>
                <w:sz w:val="24"/>
              </w:rPr>
              <w:t>随时关注国家</w:t>
            </w:r>
            <w:r>
              <w:rPr>
                <w:rFonts w:hint="eastAsia" w:ascii="仿宋" w:hAnsi="仿宋" w:eastAsia="仿宋" w:cs="仿宋"/>
                <w:color w:val="000000"/>
                <w:kern w:val="0"/>
                <w:sz w:val="24"/>
              </w:rPr>
              <w:t>、</w:t>
            </w:r>
            <w:r>
              <w:rPr>
                <w:rFonts w:ascii="仿宋" w:hAnsi="仿宋" w:eastAsia="仿宋" w:cs="仿宋"/>
                <w:color w:val="000000"/>
                <w:kern w:val="0"/>
                <w:sz w:val="24"/>
              </w:rPr>
              <w:t>行业</w:t>
            </w:r>
            <w:r>
              <w:rPr>
                <w:rFonts w:hint="eastAsia" w:ascii="仿宋" w:hAnsi="仿宋" w:eastAsia="仿宋" w:cs="仿宋"/>
                <w:color w:val="000000"/>
                <w:kern w:val="0"/>
                <w:sz w:val="24"/>
              </w:rPr>
              <w:t>及监管机构的数据安全合规要求动态，调研、分析相关数据安全法律法规、标准和规定等，根据公司的风险承担能力和财务情况，制定适宜公司的数据安全管理规划和相关制度文档，并定期做好相关更新、优化和调整。</w:t>
            </w:r>
          </w:p>
          <w:p>
            <w:pPr>
              <w:widowControl/>
              <w:numPr>
                <w:ilvl w:val="0"/>
                <w:numId w:val="25"/>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承担维护数据安全制度运转的保障工作，以更好地适应和支撑公司的业务发展。</w:t>
            </w:r>
          </w:p>
          <w:p>
            <w:pPr>
              <w:widowControl/>
              <w:numPr>
                <w:ilvl w:val="0"/>
                <w:numId w:val="25"/>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制定公司数据安全管理规划、制度和流程，建立数据安全管理的责任与机制。</w:t>
            </w:r>
          </w:p>
          <w:p>
            <w:pPr>
              <w:widowControl/>
              <w:numPr>
                <w:ilvl w:val="0"/>
                <w:numId w:val="25"/>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与各数据接口人对接，讨论及制定数据安全解决方案，沟通、指导并推进数据安全管理规范的落地执行。</w:t>
            </w:r>
          </w:p>
          <w:p>
            <w:pPr>
              <w:widowControl/>
              <w:numPr>
                <w:ilvl w:val="0"/>
                <w:numId w:val="25"/>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重点审批各部门涉及</w:t>
            </w:r>
            <w:r>
              <w:rPr>
                <w:rFonts w:ascii="仿宋" w:hAnsi="仿宋" w:eastAsia="仿宋" w:cs="仿宋"/>
                <w:color w:val="000000"/>
                <w:kern w:val="0"/>
                <w:sz w:val="24"/>
              </w:rPr>
              <w:t>C3、C4级数据的使用需求，对其合理性进行评估。</w:t>
            </w:r>
          </w:p>
          <w:p>
            <w:pPr>
              <w:widowControl/>
              <w:numPr>
                <w:ilvl w:val="0"/>
                <w:numId w:val="25"/>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为数据接口人、全体员工培训和宣贯数据安全相关管理规范的要求，组织开展数据安全意识培训。</w:t>
            </w:r>
          </w:p>
          <w:p>
            <w:pPr>
              <w:widowControl/>
              <w:numPr>
                <w:ilvl w:val="0"/>
                <w:numId w:val="25"/>
              </w:numPr>
              <w:spacing w:line="360" w:lineRule="auto"/>
              <w:rPr>
                <w:rFonts w:ascii="仿宋" w:hAnsi="仿宋" w:eastAsia="仿宋" w:cs="仿宋"/>
                <w:color w:val="000000"/>
                <w:kern w:val="0"/>
                <w:sz w:val="24"/>
              </w:rPr>
            </w:pPr>
            <w:r>
              <w:rPr>
                <w:rFonts w:ascii="仿宋" w:hAnsi="仿宋" w:eastAsia="仿宋" w:cs="仿宋"/>
                <w:color w:val="000000"/>
                <w:kern w:val="0"/>
                <w:sz w:val="24"/>
              </w:rPr>
              <w:t>定期进行数据安全审计</w:t>
            </w:r>
          </w:p>
          <w:p>
            <w:pPr>
              <w:widowControl/>
              <w:numPr>
                <w:ilvl w:val="0"/>
                <w:numId w:val="25"/>
              </w:numPr>
              <w:spacing w:line="360" w:lineRule="auto"/>
              <w:rPr>
                <w:rFonts w:ascii="仿宋" w:hAnsi="仿宋" w:eastAsia="仿宋" w:cs="仿宋"/>
                <w:color w:val="000000"/>
                <w:kern w:val="0"/>
                <w:sz w:val="24"/>
              </w:rPr>
            </w:pPr>
            <w:r>
              <w:rPr>
                <w:rFonts w:ascii="仿宋" w:hAnsi="仿宋" w:eastAsia="仿宋" w:cs="仿宋"/>
                <w:color w:val="000000"/>
                <w:kern w:val="0"/>
                <w:sz w:val="24"/>
              </w:rPr>
              <w:t>开展数据安全风险评估</w:t>
            </w:r>
            <w:r>
              <w:rPr>
                <w:rFonts w:hint="eastAsia" w:ascii="仿宋" w:hAnsi="仿宋" w:eastAsia="仿宋" w:cs="仿宋"/>
                <w:color w:val="000000"/>
                <w:kern w:val="0"/>
                <w:sz w:val="24"/>
              </w:rPr>
              <w:t>，</w:t>
            </w:r>
            <w:r>
              <w:rPr>
                <w:rFonts w:ascii="仿宋" w:hAnsi="仿宋" w:eastAsia="仿宋" w:cs="仿宋"/>
                <w:color w:val="000000"/>
                <w:kern w:val="0"/>
                <w:sz w:val="24"/>
              </w:rPr>
              <w:t>提出数据安全整改建议</w:t>
            </w:r>
            <w:r>
              <w:rPr>
                <w:rFonts w:hint="eastAsia" w:ascii="仿宋" w:hAnsi="仿宋" w:eastAsia="仿宋" w:cs="仿宋"/>
                <w:color w:val="000000"/>
                <w:kern w:val="0"/>
                <w:sz w:val="24"/>
              </w:rPr>
              <w:t>，</w:t>
            </w:r>
            <w:r>
              <w:rPr>
                <w:rFonts w:ascii="仿宋" w:hAnsi="仿宋" w:eastAsia="仿宋" w:cs="仿宋"/>
                <w:color w:val="000000"/>
                <w:kern w:val="0"/>
                <w:sz w:val="24"/>
              </w:rPr>
              <w:t>督促整改安全隐患</w:t>
            </w:r>
            <w:r>
              <w:rPr>
                <w:rFonts w:hint="eastAsia" w:ascii="仿宋" w:hAnsi="仿宋" w:eastAsia="仿宋" w:cs="仿宋"/>
                <w:color w:val="000000"/>
                <w:kern w:val="0"/>
                <w:sz w:val="24"/>
              </w:rPr>
              <w:t>。</w:t>
            </w:r>
          </w:p>
          <w:p>
            <w:pPr>
              <w:widowControl/>
              <w:numPr>
                <w:ilvl w:val="0"/>
                <w:numId w:val="25"/>
              </w:numPr>
              <w:spacing w:line="360" w:lineRule="auto"/>
              <w:rPr>
                <w:rFonts w:ascii="仿宋" w:hAnsi="仿宋" w:eastAsia="仿宋" w:cs="仿宋"/>
                <w:color w:val="000000"/>
                <w:kern w:val="0"/>
                <w:sz w:val="24"/>
              </w:rPr>
            </w:pPr>
            <w:r>
              <w:rPr>
                <w:rFonts w:ascii="仿宋" w:hAnsi="仿宋" w:eastAsia="仿宋" w:cs="仿宋"/>
                <w:color w:val="000000"/>
                <w:kern w:val="0"/>
                <w:sz w:val="24"/>
              </w:rPr>
              <w:t>配合公司</w:t>
            </w:r>
            <w:r>
              <w:rPr>
                <w:rFonts w:hint="eastAsia" w:ascii="仿宋" w:hAnsi="仿宋" w:eastAsia="仿宋" w:cs="仿宋"/>
                <w:color w:val="000000"/>
                <w:kern w:val="0"/>
                <w:sz w:val="24"/>
              </w:rPr>
              <w:t>风控、内审和外审机构对数据安全开展的审计工作。</w:t>
            </w:r>
          </w:p>
          <w:p>
            <w:pPr>
              <w:widowControl/>
              <w:numPr>
                <w:ilvl w:val="0"/>
                <w:numId w:val="25"/>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与监督、管理部门保持沟通，通报或报告个人信息保护的事件处置等情况。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 w:hRule="atLeast"/>
          <w:jc w:val="center"/>
        </w:trPr>
        <w:tc>
          <w:tcPr>
            <w:tcW w:w="1075" w:type="dxa"/>
            <w:shd w:val="clear" w:color="auto" w:fill="auto"/>
            <w:vAlign w:val="center"/>
          </w:tcPr>
          <w:p>
            <w:pPr>
              <w:widowControl/>
              <w:spacing w:line="360" w:lineRule="auto"/>
              <w:jc w:val="center"/>
              <w:rPr>
                <w:rFonts w:ascii="仿宋" w:hAnsi="仿宋" w:eastAsia="仿宋" w:cs="仿宋"/>
                <w:bCs/>
                <w:kern w:val="0"/>
                <w:sz w:val="24"/>
              </w:rPr>
            </w:pPr>
            <w:r>
              <w:rPr>
                <w:rFonts w:ascii="仿宋" w:hAnsi="仿宋" w:eastAsia="仿宋" w:cs="仿宋"/>
                <w:bCs/>
                <w:kern w:val="0"/>
                <w:sz w:val="24"/>
              </w:rPr>
              <w:t>4</w:t>
            </w:r>
          </w:p>
        </w:tc>
        <w:tc>
          <w:tcPr>
            <w:tcW w:w="2410" w:type="dxa"/>
            <w:shd w:val="clear" w:color="auto" w:fill="auto"/>
            <w:vAlign w:val="center"/>
          </w:tcPr>
          <w:p>
            <w:pPr>
              <w:widowControl/>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各一级部门数据接口人</w:t>
            </w:r>
          </w:p>
        </w:tc>
        <w:tc>
          <w:tcPr>
            <w:tcW w:w="6863" w:type="dxa"/>
            <w:shd w:val="clear" w:color="auto" w:fill="auto"/>
            <w:vAlign w:val="center"/>
          </w:tcPr>
          <w:p>
            <w:pPr>
              <w:widowControl/>
              <w:spacing w:line="360" w:lineRule="auto"/>
              <w:rPr>
                <w:rFonts w:ascii="仿宋" w:hAnsi="仿宋" w:eastAsia="仿宋" w:cs="仿宋"/>
                <w:color w:val="000000"/>
                <w:kern w:val="0"/>
                <w:sz w:val="24"/>
              </w:rPr>
            </w:pPr>
            <w:r>
              <w:rPr>
                <w:rFonts w:hint="eastAsia" w:ascii="仿宋" w:hAnsi="仿宋" w:eastAsia="仿宋" w:cs="仿宋"/>
                <w:color w:val="000000"/>
                <w:kern w:val="0"/>
                <w:sz w:val="24"/>
              </w:rPr>
              <w:t>数据接口人由一级部门负责人指派，不可与各一级部门数据负责人职责重复，是数据安全的第一道防线，主要职责为：</w:t>
            </w:r>
          </w:p>
          <w:p>
            <w:pPr>
              <w:widowControl/>
              <w:numPr>
                <w:ilvl w:val="0"/>
                <w:numId w:val="26"/>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与信息安全部数据安全小组对接，并协调资源执行数据安全制度在本部门的落地。</w:t>
            </w:r>
          </w:p>
          <w:p>
            <w:pPr>
              <w:widowControl/>
              <w:numPr>
                <w:ilvl w:val="0"/>
                <w:numId w:val="26"/>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承担维护数据安全制度运转的保障工作，可结合各自业务情况，将数据安全相关管理制度进行细化，并及时做好更新、调整和优化，以更好地适应和支撑公司的业务发展。</w:t>
            </w:r>
          </w:p>
          <w:p>
            <w:pPr>
              <w:widowControl/>
              <w:numPr>
                <w:ilvl w:val="0"/>
                <w:numId w:val="26"/>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配合梳理本部门的数据使用场景及安全需求。</w:t>
            </w:r>
          </w:p>
          <w:p>
            <w:pPr>
              <w:widowControl/>
              <w:numPr>
                <w:ilvl w:val="0"/>
                <w:numId w:val="26"/>
              </w:numPr>
              <w:spacing w:line="360" w:lineRule="auto"/>
              <w:rPr>
                <w:rFonts w:ascii="仿宋" w:hAnsi="仿宋" w:eastAsia="仿宋" w:cs="仿宋"/>
                <w:color w:val="000000"/>
                <w:kern w:val="0"/>
                <w:sz w:val="24"/>
              </w:rPr>
            </w:pPr>
            <w:r>
              <w:rPr>
                <w:rFonts w:ascii="仿宋" w:hAnsi="仿宋" w:eastAsia="仿宋" w:cs="仿宋"/>
                <w:color w:val="000000"/>
                <w:kern w:val="0"/>
                <w:sz w:val="24"/>
              </w:rPr>
              <w:t>组织开展数据安全自查和风险评估工作</w:t>
            </w:r>
            <w:r>
              <w:rPr>
                <w:rFonts w:hint="eastAsia" w:ascii="仿宋" w:hAnsi="仿宋" w:eastAsia="仿宋" w:cs="仿宋"/>
                <w:color w:val="000000"/>
                <w:kern w:val="0"/>
                <w:sz w:val="24"/>
              </w:rPr>
              <w:t>。</w:t>
            </w:r>
          </w:p>
          <w:p>
            <w:pPr>
              <w:widowControl/>
              <w:numPr>
                <w:ilvl w:val="0"/>
                <w:numId w:val="26"/>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对本部门的数据使用</w:t>
            </w:r>
            <w:r>
              <w:rPr>
                <w:rFonts w:ascii="仿宋" w:hAnsi="仿宋" w:eastAsia="仿宋" w:cs="仿宋"/>
                <w:color w:val="000000"/>
                <w:kern w:val="0"/>
                <w:sz w:val="24"/>
              </w:rPr>
              <w:t>(包括数据提取、数据权限等)申请根据合理性、必要性进行严格审批。</w:t>
            </w:r>
          </w:p>
          <w:p>
            <w:pPr>
              <w:widowControl/>
              <w:numPr>
                <w:ilvl w:val="0"/>
                <w:numId w:val="26"/>
              </w:numPr>
              <w:spacing w:line="360" w:lineRule="auto"/>
              <w:rPr>
                <w:rFonts w:ascii="仿宋" w:hAnsi="仿宋" w:eastAsia="仿宋" w:cs="仿宋"/>
                <w:color w:val="000000"/>
                <w:kern w:val="0"/>
                <w:sz w:val="24"/>
              </w:rPr>
            </w:pPr>
            <w:r>
              <w:rPr>
                <w:rFonts w:ascii="仿宋" w:hAnsi="仿宋" w:eastAsia="仿宋" w:cs="仿宋"/>
                <w:color w:val="000000"/>
                <w:kern w:val="0"/>
                <w:sz w:val="24"/>
              </w:rPr>
              <w:t>数据安全事件的应急处置</w:t>
            </w:r>
            <w:r>
              <w:rPr>
                <w:rFonts w:hint="eastAsia" w:ascii="仿宋" w:hAnsi="仿宋" w:eastAsia="仿宋" w:cs="仿宋"/>
                <w:color w:val="000000"/>
                <w:kern w:val="0"/>
                <w:sz w:val="24"/>
              </w:rPr>
              <w:t>。</w:t>
            </w:r>
          </w:p>
          <w:p>
            <w:pPr>
              <w:widowControl/>
              <w:numPr>
                <w:ilvl w:val="0"/>
                <w:numId w:val="26"/>
              </w:numPr>
              <w:spacing w:line="360" w:lineRule="auto"/>
              <w:rPr>
                <w:rFonts w:ascii="仿宋" w:hAnsi="仿宋" w:eastAsia="仿宋" w:cs="仿宋"/>
                <w:color w:val="000000"/>
                <w:kern w:val="0"/>
                <w:sz w:val="24"/>
              </w:rPr>
            </w:pPr>
            <w:r>
              <w:rPr>
                <w:rFonts w:ascii="仿宋" w:hAnsi="仿宋" w:eastAsia="仿宋" w:cs="仿宋"/>
                <w:color w:val="000000"/>
                <w:kern w:val="0"/>
                <w:sz w:val="24"/>
              </w:rPr>
              <w:t>制定各类数据安全事件应急预案</w:t>
            </w:r>
            <w:r>
              <w:rPr>
                <w:rFonts w:hint="eastAsia" w:ascii="仿宋" w:hAnsi="仿宋" w:eastAsia="仿宋" w:cs="仿宋"/>
                <w:color w:val="000000"/>
                <w:kern w:val="0"/>
                <w:sz w:val="24"/>
              </w:rPr>
              <w:t>（如数据安全事件应急预案、个人信息安全事件应急预案等），并根据相关法律法规变化情况，以及数据安全事件处置情况，及时更新应急预案。确保应急预案每年至少完成一次重新修订和评审。</w:t>
            </w:r>
          </w:p>
          <w:p>
            <w:pPr>
              <w:widowControl/>
              <w:numPr>
                <w:ilvl w:val="0"/>
                <w:numId w:val="26"/>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应定期（每年至少一次）组织内部相关人员进行应急响应培训和应急演练（如数据备份恢复演练、数据安全事件应急响应、个人信息安全事件应急演练等）。</w:t>
            </w:r>
          </w:p>
          <w:p>
            <w:pPr>
              <w:widowControl/>
              <w:numPr>
                <w:ilvl w:val="0"/>
                <w:numId w:val="26"/>
              </w:numPr>
              <w:spacing w:line="360" w:lineRule="auto"/>
              <w:rPr>
                <w:rFonts w:ascii="仿宋" w:hAnsi="仿宋" w:eastAsia="仿宋" w:cs="仿宋"/>
                <w:color w:val="000000"/>
                <w:kern w:val="0"/>
                <w:sz w:val="24"/>
              </w:rPr>
            </w:pPr>
            <w:r>
              <w:rPr>
                <w:rFonts w:ascii="仿宋" w:hAnsi="仿宋" w:eastAsia="仿宋" w:cs="仿宋"/>
                <w:color w:val="000000"/>
                <w:kern w:val="0"/>
                <w:sz w:val="24"/>
              </w:rPr>
              <w:t>在产品或服务上线发布前进行检测</w:t>
            </w:r>
            <w:r>
              <w:rPr>
                <w:rFonts w:hint="eastAsia" w:ascii="仿宋" w:hAnsi="仿宋" w:eastAsia="仿宋" w:cs="仿宋"/>
                <w:color w:val="000000"/>
                <w:kern w:val="0"/>
                <w:sz w:val="24"/>
              </w:rPr>
              <w:t>，</w:t>
            </w:r>
            <w:r>
              <w:rPr>
                <w:rFonts w:ascii="仿宋" w:hAnsi="仿宋" w:eastAsia="仿宋" w:cs="仿宋"/>
                <w:color w:val="000000"/>
                <w:kern w:val="0"/>
                <w:sz w:val="24"/>
              </w:rPr>
              <w:t>避免未知的个人信息被超范围</w:t>
            </w:r>
            <w:r>
              <w:rPr>
                <w:rFonts w:hint="eastAsia" w:ascii="仿宋" w:hAnsi="仿宋" w:eastAsia="仿宋" w:cs="仿宋"/>
                <w:color w:val="000000"/>
                <w:kern w:val="0"/>
                <w:sz w:val="24"/>
              </w:rPr>
              <w:t>、</w:t>
            </w:r>
            <w:r>
              <w:rPr>
                <w:rFonts w:ascii="仿宋" w:hAnsi="仿宋" w:eastAsia="仿宋" w:cs="仿宋"/>
                <w:color w:val="000000"/>
                <w:kern w:val="0"/>
                <w:sz w:val="24"/>
              </w:rPr>
              <w:t>非授权</w:t>
            </w:r>
            <w:r>
              <w:rPr>
                <w:rFonts w:hint="eastAsia" w:ascii="仿宋" w:hAnsi="仿宋" w:eastAsia="仿宋" w:cs="仿宋"/>
                <w:color w:val="000000"/>
                <w:kern w:val="0"/>
                <w:sz w:val="24"/>
              </w:rPr>
              <w:t>地</w:t>
            </w:r>
            <w:r>
              <w:rPr>
                <w:rFonts w:ascii="仿宋" w:hAnsi="仿宋" w:eastAsia="仿宋" w:cs="仿宋"/>
                <w:color w:val="000000"/>
                <w:kern w:val="0"/>
                <w:sz w:val="24"/>
              </w:rPr>
              <w:t>收集</w:t>
            </w:r>
            <w:r>
              <w:rPr>
                <w:rFonts w:hint="eastAsia" w:ascii="仿宋" w:hAnsi="仿宋" w:eastAsia="仿宋" w:cs="仿宋"/>
                <w:color w:val="000000"/>
                <w:kern w:val="0"/>
                <w:sz w:val="24"/>
              </w:rPr>
              <w:t>、</w:t>
            </w:r>
            <w:r>
              <w:rPr>
                <w:rFonts w:ascii="仿宋" w:hAnsi="仿宋" w:eastAsia="仿宋" w:cs="仿宋"/>
                <w:color w:val="000000"/>
                <w:kern w:val="0"/>
                <w:sz w:val="24"/>
              </w:rPr>
              <w:t>使用</w:t>
            </w:r>
            <w:r>
              <w:rPr>
                <w:rFonts w:hint="eastAsia" w:ascii="仿宋" w:hAnsi="仿宋" w:eastAsia="仿宋" w:cs="仿宋"/>
                <w:color w:val="000000"/>
                <w:kern w:val="0"/>
                <w:sz w:val="24"/>
              </w:rPr>
              <w:t>、</w:t>
            </w:r>
            <w:r>
              <w:rPr>
                <w:rFonts w:ascii="仿宋" w:hAnsi="仿宋" w:eastAsia="仿宋" w:cs="仿宋"/>
                <w:color w:val="000000"/>
                <w:kern w:val="0"/>
                <w:sz w:val="24"/>
              </w:rPr>
              <w:t>共享</w:t>
            </w:r>
            <w:r>
              <w:rPr>
                <w:rFonts w:hint="eastAsia" w:ascii="仿宋" w:hAnsi="仿宋" w:eastAsia="仿宋" w:cs="仿宋"/>
                <w:color w:val="000000"/>
                <w:kern w:val="0"/>
                <w:sz w:val="24"/>
              </w:rPr>
              <w:t>等。</w:t>
            </w:r>
          </w:p>
          <w:p>
            <w:pPr>
              <w:widowControl/>
              <w:numPr>
                <w:ilvl w:val="0"/>
                <w:numId w:val="26"/>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定期梳理本部门数据资产情况，维护管理数据资产表。</w:t>
            </w:r>
          </w:p>
          <w:p>
            <w:pPr>
              <w:widowControl/>
              <w:numPr>
                <w:ilvl w:val="0"/>
                <w:numId w:val="26"/>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其他与数据安全相关的工作。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 w:hRule="atLeast"/>
          <w:jc w:val="center"/>
        </w:trPr>
        <w:tc>
          <w:tcPr>
            <w:tcW w:w="1075" w:type="dxa"/>
            <w:shd w:val="clear" w:color="auto" w:fill="auto"/>
            <w:vAlign w:val="center"/>
          </w:tcPr>
          <w:p>
            <w:pPr>
              <w:widowControl/>
              <w:spacing w:line="360" w:lineRule="auto"/>
              <w:jc w:val="center"/>
              <w:rPr>
                <w:rFonts w:ascii="仿宋" w:hAnsi="仿宋" w:eastAsia="仿宋" w:cs="仿宋"/>
                <w:bCs/>
                <w:kern w:val="0"/>
                <w:sz w:val="24"/>
              </w:rPr>
            </w:pPr>
            <w:r>
              <w:rPr>
                <w:rFonts w:ascii="仿宋" w:hAnsi="仿宋" w:eastAsia="仿宋" w:cs="仿宋"/>
                <w:bCs/>
                <w:kern w:val="0"/>
                <w:sz w:val="24"/>
              </w:rPr>
              <w:t>5</w:t>
            </w:r>
          </w:p>
        </w:tc>
        <w:tc>
          <w:tcPr>
            <w:tcW w:w="2410" w:type="dxa"/>
            <w:shd w:val="clear" w:color="auto" w:fill="auto"/>
            <w:vAlign w:val="center"/>
          </w:tcPr>
          <w:p>
            <w:pPr>
              <w:widowControl/>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各系统及应用管理员、数据库管理员、数据仓库管理员、网络设备管理员、各业务</w:t>
            </w:r>
            <w:r>
              <w:rPr>
                <w:rFonts w:ascii="仿宋" w:hAnsi="仿宋" w:eastAsia="仿宋" w:cs="仿宋"/>
                <w:color w:val="000000"/>
                <w:kern w:val="0"/>
                <w:sz w:val="24"/>
              </w:rPr>
              <w:t>/平台/部门的线上和线下数据介质管理员</w:t>
            </w:r>
          </w:p>
        </w:tc>
        <w:tc>
          <w:tcPr>
            <w:tcW w:w="6863" w:type="dxa"/>
            <w:shd w:val="clear" w:color="auto" w:fill="auto"/>
            <w:vAlign w:val="center"/>
          </w:tcPr>
          <w:p>
            <w:pPr>
              <w:widowControl/>
              <w:numPr>
                <w:ilvl w:val="0"/>
                <w:numId w:val="27"/>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协助本部门数据接口人，制定本部门数据安全实施细则，包括加密、脱敏、系统改造及日志监控等工作。</w:t>
            </w:r>
          </w:p>
          <w:p>
            <w:pPr>
              <w:widowControl/>
              <w:numPr>
                <w:ilvl w:val="0"/>
                <w:numId w:val="27"/>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严格执行数据安全管理制度及配套实施细则的要求。</w:t>
            </w:r>
          </w:p>
          <w:p>
            <w:pPr>
              <w:widowControl/>
              <w:numPr>
                <w:ilvl w:val="0"/>
                <w:numId w:val="27"/>
              </w:numPr>
              <w:spacing w:line="360" w:lineRule="auto"/>
              <w:rPr>
                <w:rFonts w:ascii="仿宋" w:hAnsi="仿宋" w:eastAsia="仿宋" w:cs="仿宋"/>
                <w:color w:val="000000"/>
                <w:kern w:val="0"/>
                <w:sz w:val="24"/>
              </w:rPr>
            </w:pPr>
            <w:r>
              <w:rPr>
                <w:rFonts w:ascii="仿宋" w:hAnsi="仿宋" w:eastAsia="仿宋" w:cs="仿宋"/>
                <w:color w:val="000000"/>
                <w:kern w:val="0"/>
                <w:sz w:val="24"/>
              </w:rPr>
              <w:t>制定数据安全实施方案</w:t>
            </w:r>
            <w:r>
              <w:rPr>
                <w:rFonts w:hint="eastAsia" w:ascii="仿宋" w:hAnsi="仿宋" w:eastAsia="仿宋" w:cs="仿宋"/>
                <w:color w:val="000000"/>
                <w:kern w:val="0"/>
                <w:sz w:val="24"/>
              </w:rPr>
              <w:t>。</w:t>
            </w:r>
          </w:p>
          <w:p>
            <w:pPr>
              <w:widowControl/>
              <w:numPr>
                <w:ilvl w:val="0"/>
                <w:numId w:val="27"/>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协助本部门数据接口人，制定数据安全事件应急预案（如个人信息安全事件应急预案等），组织定期演练。</w:t>
            </w:r>
          </w:p>
          <w:p>
            <w:pPr>
              <w:widowControl/>
              <w:numPr>
                <w:ilvl w:val="0"/>
                <w:numId w:val="27"/>
              </w:numPr>
              <w:spacing w:line="360" w:lineRule="auto"/>
              <w:rPr>
                <w:rFonts w:ascii="仿宋" w:hAnsi="仿宋" w:eastAsia="仿宋" w:cs="仿宋"/>
                <w:color w:val="000000"/>
                <w:kern w:val="0"/>
                <w:sz w:val="24"/>
              </w:rPr>
            </w:pPr>
            <w:r>
              <w:rPr>
                <w:rFonts w:ascii="仿宋" w:hAnsi="仿宋" w:eastAsia="仿宋" w:cs="仿宋"/>
                <w:color w:val="000000"/>
                <w:kern w:val="0"/>
                <w:sz w:val="24"/>
              </w:rPr>
              <w:t>跟踪部门内发现的数据安全问题并给出解决建议</w:t>
            </w:r>
            <w:r>
              <w:rPr>
                <w:rFonts w:hint="eastAsia" w:ascii="仿宋" w:hAnsi="仿宋" w:eastAsia="仿宋" w:cs="仿宋"/>
                <w:color w:val="000000"/>
                <w:kern w:val="0"/>
                <w:sz w:val="24"/>
              </w:rPr>
              <w:t>。</w:t>
            </w:r>
          </w:p>
          <w:p>
            <w:pPr>
              <w:widowControl/>
              <w:numPr>
                <w:ilvl w:val="0"/>
                <w:numId w:val="27"/>
              </w:numPr>
              <w:spacing w:line="360" w:lineRule="auto"/>
              <w:rPr>
                <w:rFonts w:ascii="仿宋" w:hAnsi="仿宋" w:eastAsia="仿宋" w:cs="仿宋"/>
                <w:color w:val="000000"/>
                <w:kern w:val="0"/>
                <w:sz w:val="24"/>
              </w:rPr>
            </w:pPr>
            <w:r>
              <w:rPr>
                <w:rFonts w:ascii="仿宋" w:hAnsi="仿宋" w:eastAsia="仿宋" w:cs="仿宋"/>
                <w:color w:val="000000"/>
                <w:kern w:val="0"/>
                <w:sz w:val="24"/>
              </w:rPr>
              <w:t>对部门内出现的数据安全事件应及时上报</w:t>
            </w:r>
            <w:r>
              <w:rPr>
                <w:rFonts w:hint="eastAsia" w:ascii="仿宋" w:hAnsi="仿宋" w:eastAsia="仿宋" w:cs="仿宋"/>
                <w:color w:val="000000"/>
                <w:kern w:val="0"/>
                <w:sz w:val="24"/>
              </w:rPr>
              <w:t>，</w:t>
            </w:r>
            <w:r>
              <w:rPr>
                <w:rFonts w:ascii="仿宋" w:hAnsi="仿宋" w:eastAsia="仿宋" w:cs="仿宋"/>
                <w:color w:val="000000"/>
                <w:kern w:val="0"/>
                <w:sz w:val="24"/>
              </w:rPr>
              <w:t>并配合数据安全管理者采取适当的处理措施处理相关安全事件</w:t>
            </w:r>
            <w:r>
              <w:rPr>
                <w:rFonts w:hint="eastAsia" w:ascii="仿宋" w:hAnsi="仿宋" w:eastAsia="仿宋" w:cs="仿宋"/>
                <w:color w:val="000000"/>
                <w:kern w:val="0"/>
                <w:sz w:val="24"/>
              </w:rPr>
              <w:t>，并做好相关数据安全事件</w:t>
            </w:r>
            <w:r>
              <w:rPr>
                <w:rFonts w:ascii="仿宋" w:hAnsi="仿宋" w:eastAsia="仿宋" w:cs="仿宋"/>
                <w:color w:val="000000"/>
                <w:kern w:val="0"/>
                <w:sz w:val="24"/>
              </w:rPr>
              <w:t>记录</w:t>
            </w:r>
            <w:r>
              <w:rPr>
                <w:rFonts w:hint="eastAsia" w:ascii="仿宋" w:hAnsi="仿宋" w:eastAsia="仿宋" w:cs="仿宋"/>
                <w:color w:val="000000"/>
                <w:kern w:val="0"/>
                <w:sz w:val="24"/>
              </w:rPr>
              <w:t>以及事件处理报告。</w:t>
            </w:r>
            <w:r>
              <w:rPr>
                <w:rFonts w:ascii="仿宋" w:hAnsi="仿宋" w:eastAsia="仿宋" w:cs="仿宋"/>
                <w:color w:val="000000"/>
                <w:kern w:val="0"/>
                <w:sz w:val="24"/>
              </w:rPr>
              <w:t xml:space="preserve"> </w:t>
            </w:r>
          </w:p>
          <w:p>
            <w:pPr>
              <w:widowControl/>
              <w:numPr>
                <w:ilvl w:val="0"/>
                <w:numId w:val="27"/>
              </w:numPr>
              <w:spacing w:line="360" w:lineRule="auto"/>
              <w:rPr>
                <w:rFonts w:ascii="仿宋" w:hAnsi="仿宋" w:eastAsia="仿宋" w:cs="仿宋"/>
                <w:color w:val="000000"/>
                <w:kern w:val="0"/>
                <w:sz w:val="24"/>
              </w:rPr>
            </w:pPr>
            <w:r>
              <w:rPr>
                <w:rFonts w:ascii="仿宋" w:hAnsi="仿宋" w:eastAsia="仿宋" w:cs="仿宋"/>
                <w:color w:val="000000"/>
                <w:kern w:val="0"/>
                <w:sz w:val="24"/>
              </w:rPr>
              <w:t>建立</w:t>
            </w:r>
            <w:r>
              <w:rPr>
                <w:rFonts w:hint="eastAsia" w:ascii="仿宋" w:hAnsi="仿宋" w:eastAsia="仿宋" w:cs="仿宋"/>
                <w:color w:val="000000"/>
                <w:kern w:val="0"/>
                <w:sz w:val="24"/>
              </w:rPr>
              <w:t>《数据安全事件处置库》文档，记录所有数据安全事件（包含但不限于常见数据安全事件、已发生数据安全事件等）的处理流程与处置方案等内容，为后续相关事件处置提供有力支撑与指导。</w:t>
            </w:r>
          </w:p>
          <w:p>
            <w:pPr>
              <w:widowControl/>
              <w:numPr>
                <w:ilvl w:val="0"/>
                <w:numId w:val="27"/>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记录数据活动的相关日志，集中进行日志管理，并实时进行审计日志进行分析、监控。</w:t>
            </w:r>
          </w:p>
          <w:p>
            <w:pPr>
              <w:widowControl/>
              <w:numPr>
                <w:ilvl w:val="0"/>
                <w:numId w:val="27"/>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配合内审和外审、信息安全部数据安全管理小组的相关数据数据安全工作</w:t>
            </w:r>
          </w:p>
          <w:p>
            <w:pPr>
              <w:widowControl/>
              <w:numPr>
                <w:ilvl w:val="0"/>
                <w:numId w:val="27"/>
              </w:numPr>
              <w:spacing w:line="360" w:lineRule="auto"/>
              <w:rPr>
                <w:rFonts w:ascii="仿宋" w:hAnsi="仿宋" w:eastAsia="仿宋" w:cs="仿宋"/>
                <w:color w:val="000000"/>
                <w:kern w:val="0"/>
                <w:sz w:val="24"/>
              </w:rPr>
            </w:pPr>
            <w:r>
              <w:rPr>
                <w:rFonts w:ascii="仿宋" w:hAnsi="仿宋" w:eastAsia="仿宋" w:cs="仿宋"/>
                <w:color w:val="000000"/>
                <w:kern w:val="0"/>
                <w:sz w:val="24"/>
              </w:rPr>
              <w:t>配合本部门数据接口人</w:t>
            </w:r>
            <w:r>
              <w:rPr>
                <w:rFonts w:hint="eastAsia" w:ascii="仿宋" w:hAnsi="仿宋" w:eastAsia="仿宋" w:cs="仿宋"/>
                <w:color w:val="000000"/>
                <w:kern w:val="0"/>
                <w:sz w:val="24"/>
              </w:rPr>
              <w:t>、信息安全部</w:t>
            </w:r>
            <w:r>
              <w:rPr>
                <w:rFonts w:ascii="仿宋" w:hAnsi="仿宋" w:eastAsia="仿宋" w:cs="仿宋"/>
                <w:color w:val="000000"/>
                <w:kern w:val="0"/>
                <w:sz w:val="24"/>
              </w:rPr>
              <w:t>数据安全小组等</w:t>
            </w:r>
            <w:r>
              <w:rPr>
                <w:rFonts w:hint="eastAsia" w:ascii="仿宋" w:hAnsi="仿宋" w:eastAsia="仿宋" w:cs="仿宋"/>
                <w:color w:val="000000"/>
                <w:kern w:val="0"/>
                <w:sz w:val="24"/>
              </w:rPr>
              <w:t>，</w:t>
            </w:r>
            <w:r>
              <w:rPr>
                <w:rFonts w:ascii="仿宋" w:hAnsi="仿宋" w:eastAsia="仿宋" w:cs="仿宋"/>
                <w:color w:val="000000"/>
                <w:kern w:val="0"/>
                <w:sz w:val="24"/>
              </w:rPr>
              <w:t>定期梳理所负责系统的数据资产情况</w:t>
            </w:r>
            <w:r>
              <w:rPr>
                <w:rFonts w:hint="eastAsia" w:ascii="仿宋" w:hAnsi="仿宋" w:eastAsia="仿宋" w:cs="仿宋"/>
                <w:color w:val="000000"/>
                <w:kern w:val="0"/>
                <w:sz w:val="24"/>
              </w:rPr>
              <w:t>，及时更新数据资产表。</w:t>
            </w:r>
          </w:p>
          <w:p>
            <w:pPr>
              <w:widowControl/>
              <w:numPr>
                <w:ilvl w:val="0"/>
                <w:numId w:val="27"/>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其他与数据安全相关的工作。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 w:hRule="atLeast"/>
          <w:jc w:val="center"/>
        </w:trPr>
        <w:tc>
          <w:tcPr>
            <w:tcW w:w="1075" w:type="dxa"/>
            <w:shd w:val="clear" w:color="auto" w:fill="auto"/>
            <w:vAlign w:val="center"/>
          </w:tcPr>
          <w:p>
            <w:pPr>
              <w:widowControl/>
              <w:spacing w:line="360" w:lineRule="auto"/>
              <w:jc w:val="center"/>
              <w:rPr>
                <w:rFonts w:ascii="仿宋" w:hAnsi="仿宋" w:eastAsia="仿宋" w:cs="仿宋"/>
                <w:bCs/>
                <w:kern w:val="0"/>
                <w:sz w:val="24"/>
              </w:rPr>
            </w:pPr>
            <w:r>
              <w:rPr>
                <w:rFonts w:ascii="仿宋" w:hAnsi="仿宋" w:eastAsia="仿宋" w:cs="仿宋"/>
                <w:bCs/>
                <w:kern w:val="0"/>
                <w:sz w:val="24"/>
              </w:rPr>
              <w:t>6</w:t>
            </w:r>
          </w:p>
        </w:tc>
        <w:tc>
          <w:tcPr>
            <w:tcW w:w="2410" w:type="dxa"/>
            <w:shd w:val="clear" w:color="auto" w:fill="auto"/>
            <w:vAlign w:val="center"/>
          </w:tcPr>
          <w:p>
            <w:pPr>
              <w:widowControl/>
              <w:spacing w:line="360" w:lineRule="auto"/>
              <w:jc w:val="center"/>
              <w:rPr>
                <w:rFonts w:ascii="仿宋" w:hAnsi="仿宋" w:eastAsia="仿宋" w:cs="仿宋"/>
                <w:color w:val="000000"/>
                <w:kern w:val="0"/>
                <w:sz w:val="24"/>
              </w:rPr>
            </w:pPr>
            <w:r>
              <w:rPr>
                <w:rFonts w:ascii="仿宋" w:hAnsi="仿宋" w:eastAsia="仿宋" w:cs="仿宋"/>
                <w:color w:val="000000"/>
                <w:kern w:val="0"/>
                <w:sz w:val="24"/>
              </w:rPr>
              <w:t>数据安全审计</w:t>
            </w:r>
            <w:r>
              <w:rPr>
                <w:rFonts w:hint="eastAsia" w:ascii="仿宋" w:hAnsi="仿宋" w:eastAsia="仿宋" w:cs="仿宋"/>
                <w:color w:val="000000"/>
                <w:kern w:val="0"/>
                <w:sz w:val="24"/>
              </w:rPr>
              <w:t>员</w:t>
            </w:r>
          </w:p>
        </w:tc>
        <w:tc>
          <w:tcPr>
            <w:tcW w:w="6863" w:type="dxa"/>
            <w:shd w:val="clear" w:color="auto" w:fill="auto"/>
            <w:vAlign w:val="center"/>
          </w:tcPr>
          <w:p>
            <w:pPr>
              <w:widowControl/>
              <w:numPr>
                <w:ilvl w:val="0"/>
                <w:numId w:val="28"/>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执行</w:t>
            </w:r>
            <w:r>
              <w:rPr>
                <w:rFonts w:ascii="仿宋" w:hAnsi="仿宋" w:eastAsia="仿宋" w:cs="仿宋"/>
                <w:color w:val="000000"/>
                <w:kern w:val="0"/>
                <w:sz w:val="24"/>
              </w:rPr>
              <w:t>数据安全内部审计工作</w:t>
            </w:r>
            <w:r>
              <w:rPr>
                <w:rFonts w:hint="eastAsia" w:ascii="仿宋" w:hAnsi="仿宋" w:eastAsia="仿宋" w:cs="仿宋"/>
                <w:color w:val="000000"/>
                <w:kern w:val="0"/>
                <w:sz w:val="24"/>
              </w:rPr>
              <w:t>，</w:t>
            </w:r>
            <w:r>
              <w:rPr>
                <w:rFonts w:ascii="仿宋" w:hAnsi="仿宋" w:eastAsia="仿宋" w:cs="仿宋"/>
                <w:color w:val="000000"/>
                <w:kern w:val="0"/>
                <w:sz w:val="24"/>
              </w:rPr>
              <w:t>及时发现安全问题</w:t>
            </w:r>
            <w:r>
              <w:rPr>
                <w:rFonts w:hint="eastAsia" w:ascii="仿宋" w:hAnsi="仿宋" w:eastAsia="仿宋" w:cs="仿宋"/>
                <w:color w:val="000000"/>
                <w:kern w:val="0"/>
                <w:sz w:val="24"/>
              </w:rPr>
              <w:t>，</w:t>
            </w:r>
            <w:r>
              <w:rPr>
                <w:rFonts w:ascii="仿宋" w:hAnsi="仿宋" w:eastAsia="仿宋" w:cs="仿宋"/>
                <w:color w:val="000000"/>
                <w:kern w:val="0"/>
                <w:sz w:val="24"/>
              </w:rPr>
              <w:t>推动整改</w:t>
            </w:r>
            <w:r>
              <w:rPr>
                <w:rFonts w:hint="eastAsia" w:ascii="仿宋" w:hAnsi="仿宋" w:eastAsia="仿宋" w:cs="仿宋"/>
                <w:color w:val="000000"/>
                <w:kern w:val="0"/>
                <w:sz w:val="24"/>
              </w:rPr>
              <w:t>。</w:t>
            </w:r>
          </w:p>
          <w:p>
            <w:pPr>
              <w:widowControl/>
              <w:numPr>
                <w:ilvl w:val="0"/>
                <w:numId w:val="28"/>
              </w:numPr>
              <w:spacing w:line="360" w:lineRule="auto"/>
              <w:rPr>
                <w:rFonts w:ascii="仿宋" w:hAnsi="仿宋" w:eastAsia="仿宋" w:cs="仿宋"/>
                <w:color w:val="000000"/>
                <w:kern w:val="0"/>
                <w:sz w:val="24"/>
              </w:rPr>
            </w:pPr>
            <w:r>
              <w:rPr>
                <w:rFonts w:ascii="仿宋" w:hAnsi="仿宋" w:eastAsia="仿宋" w:cs="仿宋"/>
                <w:color w:val="000000"/>
                <w:kern w:val="0"/>
                <w:sz w:val="24"/>
              </w:rPr>
              <w:t>负责对数据安全决策层</w:t>
            </w:r>
            <w:r>
              <w:rPr>
                <w:rFonts w:hint="eastAsia" w:ascii="仿宋" w:hAnsi="仿宋" w:eastAsia="仿宋" w:cs="仿宋"/>
                <w:color w:val="000000"/>
                <w:kern w:val="0"/>
                <w:sz w:val="24"/>
              </w:rPr>
              <w:t>、</w:t>
            </w:r>
            <w:r>
              <w:rPr>
                <w:rFonts w:ascii="仿宋" w:hAnsi="仿宋" w:eastAsia="仿宋" w:cs="仿宋"/>
                <w:color w:val="000000"/>
                <w:kern w:val="0"/>
                <w:sz w:val="24"/>
              </w:rPr>
              <w:t>管理层及执行层的数据安全治理工作进行监督审计</w:t>
            </w:r>
            <w:r>
              <w:rPr>
                <w:rFonts w:hint="eastAsia" w:ascii="仿宋" w:hAnsi="仿宋" w:eastAsia="仿宋" w:cs="仿宋"/>
                <w:color w:val="000000"/>
                <w:kern w:val="0"/>
                <w:sz w:val="24"/>
              </w:rPr>
              <w:t>。</w:t>
            </w:r>
          </w:p>
          <w:p>
            <w:pPr>
              <w:widowControl/>
              <w:numPr>
                <w:ilvl w:val="0"/>
                <w:numId w:val="28"/>
              </w:numPr>
              <w:spacing w:line="360" w:lineRule="auto"/>
              <w:rPr>
                <w:rFonts w:ascii="仿宋" w:hAnsi="仿宋" w:eastAsia="仿宋" w:cs="仿宋"/>
                <w:color w:val="000000"/>
                <w:kern w:val="0"/>
                <w:sz w:val="24"/>
              </w:rPr>
            </w:pPr>
            <w:r>
              <w:rPr>
                <w:rFonts w:ascii="仿宋" w:hAnsi="仿宋" w:eastAsia="仿宋" w:cs="仿宋"/>
                <w:color w:val="000000"/>
                <w:kern w:val="0"/>
                <w:sz w:val="24"/>
              </w:rPr>
              <w:t>配合外部审计机构进行数据安全审计工作</w:t>
            </w:r>
            <w:r>
              <w:rPr>
                <w:rFonts w:hint="eastAsia" w:ascii="仿宋" w:hAnsi="仿宋" w:eastAsia="仿宋" w:cs="仿宋"/>
                <w:color w:val="000000"/>
                <w:kern w:val="0"/>
                <w:sz w:val="24"/>
              </w:rPr>
              <w:t>。</w:t>
            </w:r>
          </w:p>
          <w:p>
            <w:pPr>
              <w:keepNext/>
              <w:widowControl/>
              <w:numPr>
                <w:ilvl w:val="0"/>
                <w:numId w:val="28"/>
              </w:numPr>
              <w:spacing w:line="360" w:lineRule="auto"/>
              <w:rPr>
                <w:rFonts w:ascii="仿宋" w:hAnsi="仿宋" w:eastAsia="仿宋" w:cs="仿宋"/>
                <w:color w:val="000000"/>
                <w:kern w:val="0"/>
                <w:sz w:val="24"/>
              </w:rPr>
            </w:pPr>
            <w:r>
              <w:rPr>
                <w:rFonts w:hint="eastAsia" w:ascii="仿宋" w:hAnsi="仿宋" w:eastAsia="仿宋" w:cs="仿宋"/>
                <w:color w:val="000000"/>
                <w:kern w:val="0"/>
                <w:sz w:val="24"/>
              </w:rPr>
              <w:t>应妥善保管数据安全审计报告，为外部审计机构提供有效审计依据等。</w:t>
            </w:r>
          </w:p>
        </w:tc>
      </w:tr>
    </w:tbl>
    <w:p>
      <w:pPr>
        <w:pStyle w:val="7"/>
        <w:jc w:val="center"/>
        <w:rPr>
          <w:rFonts w:ascii="仿宋" w:hAnsi="仿宋" w:eastAsia="仿宋"/>
        </w:rPr>
        <w:sectPr>
          <w:pgSz w:w="11906" w:h="16838"/>
          <w:pgMar w:top="720" w:right="720" w:bottom="720" w:left="720" w:header="851" w:footer="992" w:gutter="0"/>
          <w:cols w:space="425" w:num="1"/>
          <w:docGrid w:type="lines" w:linePitch="312" w:charSpace="0"/>
        </w:sectPr>
      </w:pPr>
      <w:r>
        <w:rPr>
          <w:rFonts w:hint="eastAsia" w:ascii="仿宋" w:hAnsi="仿宋" w:eastAsia="仿宋"/>
        </w:rPr>
        <w:t xml:space="preserve">表 </w:t>
      </w:r>
      <w:r>
        <w:rPr>
          <w:rFonts w:ascii="仿宋" w:hAnsi="仿宋" w:eastAsia="仿宋"/>
        </w:rPr>
        <w:fldChar w:fldCharType="begin"/>
      </w:r>
      <w:r>
        <w:rPr>
          <w:rFonts w:ascii="仿宋" w:hAnsi="仿宋" w:eastAsia="仿宋"/>
        </w:rPr>
        <w:instrText xml:space="preserve"> </w:instrText>
      </w:r>
      <w:r>
        <w:rPr>
          <w:rFonts w:hint="eastAsia" w:ascii="仿宋" w:hAnsi="仿宋" w:eastAsia="仿宋"/>
        </w:rPr>
        <w:instrText xml:space="preserve">SEQ 表 \* ARABIC</w:instrText>
      </w:r>
      <w:r>
        <w:rPr>
          <w:rFonts w:ascii="仿宋" w:hAnsi="仿宋" w:eastAsia="仿宋"/>
        </w:rPr>
        <w:instrText xml:space="preserve"> </w:instrText>
      </w:r>
      <w:r>
        <w:rPr>
          <w:rFonts w:ascii="仿宋" w:hAnsi="仿宋" w:eastAsia="仿宋"/>
        </w:rPr>
        <w:fldChar w:fldCharType="separate"/>
      </w:r>
      <w:r>
        <w:rPr>
          <w:rFonts w:ascii="仿宋" w:hAnsi="仿宋" w:eastAsia="仿宋"/>
        </w:rPr>
        <w:t>1</w:t>
      </w:r>
      <w:r>
        <w:rPr>
          <w:rFonts w:ascii="仿宋" w:hAnsi="仿宋" w:eastAsia="仿宋"/>
        </w:rPr>
        <w:fldChar w:fldCharType="end"/>
      </w:r>
      <w:r>
        <w:rPr>
          <w:rFonts w:ascii="仿宋" w:hAnsi="仿宋" w:eastAsia="仿宋"/>
        </w:rPr>
        <w:t xml:space="preserve"> </w:t>
      </w:r>
      <w:r>
        <w:rPr>
          <w:rFonts w:hint="eastAsia" w:ascii="仿宋" w:hAnsi="仿宋" w:eastAsia="仿宋"/>
        </w:rPr>
        <w:t>数据安全组织成员及职责分工表</w:t>
      </w:r>
    </w:p>
    <w:p>
      <w:pPr>
        <w:pStyle w:val="5"/>
        <w:numPr>
          <w:ilvl w:val="0"/>
          <w:numId w:val="3"/>
        </w:numPr>
        <w:jc w:val="center"/>
        <w:rPr>
          <w:rFonts w:hint="default" w:ascii="仿宋" w:hAnsi="仿宋" w:eastAsia="仿宋"/>
          <w:sz w:val="28"/>
          <w:szCs w:val="28"/>
        </w:rPr>
      </w:pPr>
      <w:r>
        <w:rPr>
          <w:rFonts w:ascii="仿宋" w:hAnsi="仿宋" w:eastAsia="仿宋"/>
          <w:sz w:val="28"/>
          <w:szCs w:val="28"/>
        </w:rPr>
        <w:t>数据分类分级</w:t>
      </w:r>
    </w:p>
    <w:p>
      <w:pPr>
        <w:pStyle w:val="28"/>
        <w:ind w:left="0"/>
        <w:rPr>
          <w:rFonts w:ascii="仿宋" w:hAnsi="仿宋" w:cs="仿宋"/>
          <w:sz w:val="24"/>
        </w:rPr>
      </w:pPr>
      <w:r>
        <w:rPr>
          <w:rFonts w:hint="eastAsia" w:ascii="仿宋" w:hAnsi="仿宋" w:cs="仿宋"/>
          <w:sz w:val="24"/>
        </w:rPr>
        <w:t>数据分类分级应遵循如下原则：</w:t>
      </w:r>
    </w:p>
    <w:p>
      <w:pPr>
        <w:pStyle w:val="36"/>
        <w:numPr>
          <w:ilvl w:val="0"/>
          <w:numId w:val="29"/>
        </w:numPr>
        <w:spacing w:line="360" w:lineRule="auto"/>
        <w:ind w:firstLineChars="0"/>
        <w:rPr>
          <w:rFonts w:ascii="仿宋" w:hAnsi="仿宋" w:eastAsia="仿宋" w:cs="仿宋"/>
          <w:color w:val="000000"/>
          <w:kern w:val="0"/>
          <w:sz w:val="24"/>
        </w:rPr>
      </w:pPr>
      <w:r>
        <w:rPr>
          <w:rFonts w:ascii="仿宋" w:hAnsi="仿宋" w:eastAsia="仿宋" w:cs="仿宋"/>
          <w:color w:val="000000"/>
          <w:kern w:val="0"/>
          <w:sz w:val="24"/>
        </w:rPr>
        <w:t>科学性原则</w:t>
      </w:r>
      <w:r>
        <w:rPr>
          <w:rFonts w:hint="eastAsia" w:ascii="仿宋" w:hAnsi="仿宋" w:eastAsia="仿宋" w:cs="仿宋"/>
          <w:color w:val="000000"/>
          <w:kern w:val="0"/>
          <w:sz w:val="24"/>
        </w:rPr>
        <w:t>：按照数据的多维特征及其相互间逻辑关系进行科学和系统化的数据分类分级。</w:t>
      </w:r>
    </w:p>
    <w:p>
      <w:pPr>
        <w:pStyle w:val="36"/>
        <w:numPr>
          <w:ilvl w:val="0"/>
          <w:numId w:val="29"/>
        </w:numPr>
        <w:spacing w:line="360" w:lineRule="auto"/>
        <w:ind w:firstLineChars="0"/>
        <w:rPr>
          <w:rFonts w:ascii="仿宋" w:hAnsi="仿宋" w:eastAsia="仿宋" w:cs="仿宋"/>
          <w:color w:val="000000"/>
          <w:kern w:val="0"/>
          <w:sz w:val="24"/>
        </w:rPr>
      </w:pPr>
      <w:r>
        <w:rPr>
          <w:rFonts w:ascii="仿宋" w:hAnsi="仿宋" w:eastAsia="仿宋" w:cs="仿宋"/>
          <w:color w:val="000000"/>
          <w:kern w:val="0"/>
          <w:sz w:val="24"/>
        </w:rPr>
        <w:t>稳定性原则</w:t>
      </w:r>
      <w:r>
        <w:rPr>
          <w:rFonts w:hint="eastAsia" w:ascii="仿宋" w:hAnsi="仿宋" w:eastAsia="仿宋" w:cs="仿宋"/>
          <w:color w:val="000000"/>
          <w:kern w:val="0"/>
          <w:sz w:val="24"/>
        </w:rPr>
        <w:t>：</w:t>
      </w:r>
      <w:r>
        <w:rPr>
          <w:rFonts w:ascii="仿宋" w:hAnsi="仿宋" w:eastAsia="仿宋" w:cs="仿宋"/>
          <w:color w:val="000000"/>
          <w:kern w:val="0"/>
          <w:sz w:val="24"/>
        </w:rPr>
        <w:t>应</w:t>
      </w:r>
      <w:r>
        <w:rPr>
          <w:rFonts w:hint="eastAsia" w:ascii="仿宋" w:hAnsi="仿宋" w:eastAsia="仿宋" w:cs="仿宋"/>
          <w:color w:val="000000"/>
          <w:kern w:val="0"/>
          <w:sz w:val="24"/>
        </w:rPr>
        <w:t>选择</w:t>
      </w:r>
      <w:r>
        <w:rPr>
          <w:rFonts w:ascii="仿宋" w:hAnsi="仿宋" w:eastAsia="仿宋" w:cs="仿宋"/>
          <w:color w:val="000000"/>
          <w:kern w:val="0"/>
          <w:sz w:val="24"/>
        </w:rPr>
        <w:t>分类对象的最稳定的</w:t>
      </w:r>
      <w:r>
        <w:rPr>
          <w:rFonts w:hint="eastAsia" w:ascii="仿宋" w:hAnsi="仿宋" w:eastAsia="仿宋" w:cs="仿宋"/>
          <w:color w:val="000000"/>
          <w:kern w:val="0"/>
          <w:sz w:val="24"/>
        </w:rPr>
        <w:t>本质</w:t>
      </w:r>
      <w:r>
        <w:rPr>
          <w:rFonts w:ascii="仿宋" w:hAnsi="仿宋" w:eastAsia="仿宋" w:cs="仿宋"/>
          <w:color w:val="000000"/>
          <w:kern w:val="0"/>
          <w:sz w:val="24"/>
        </w:rPr>
        <w:t>特征作为数据分类的基础和依据</w:t>
      </w:r>
      <w:r>
        <w:rPr>
          <w:rFonts w:hint="eastAsia" w:ascii="仿宋" w:hAnsi="仿宋" w:eastAsia="仿宋" w:cs="仿宋"/>
          <w:color w:val="000000"/>
          <w:kern w:val="0"/>
          <w:sz w:val="24"/>
        </w:rPr>
        <w:t>。</w:t>
      </w:r>
    </w:p>
    <w:p>
      <w:pPr>
        <w:pStyle w:val="36"/>
        <w:numPr>
          <w:ilvl w:val="0"/>
          <w:numId w:val="29"/>
        </w:numPr>
        <w:spacing w:line="360" w:lineRule="auto"/>
        <w:ind w:firstLineChars="0"/>
        <w:rPr>
          <w:rFonts w:ascii="仿宋" w:hAnsi="仿宋" w:eastAsia="仿宋" w:cs="仿宋"/>
          <w:color w:val="000000"/>
          <w:kern w:val="0"/>
          <w:sz w:val="24"/>
        </w:rPr>
      </w:pPr>
      <w:r>
        <w:rPr>
          <w:rFonts w:hint="eastAsia" w:ascii="仿宋" w:hAnsi="仿宋" w:eastAsia="仿宋" w:cs="仿宋"/>
          <w:color w:val="000000"/>
          <w:kern w:val="0"/>
          <w:sz w:val="24"/>
        </w:rPr>
        <w:t>实用性原则：数据分类要确保每个类别下要有数据，不设没有意义的类目，数据类目划分要符合对数据分类的普遍意识。数据分级要确保分级结果能够为数据保护提供有效信息，应提出分级安全要求。</w:t>
      </w:r>
    </w:p>
    <w:p>
      <w:pPr>
        <w:pStyle w:val="36"/>
        <w:numPr>
          <w:ilvl w:val="0"/>
          <w:numId w:val="29"/>
        </w:numPr>
        <w:spacing w:line="360" w:lineRule="auto"/>
        <w:ind w:firstLineChars="0"/>
        <w:rPr>
          <w:rFonts w:ascii="仿宋" w:hAnsi="仿宋" w:eastAsia="仿宋" w:cs="仿宋"/>
          <w:color w:val="000000"/>
          <w:kern w:val="0"/>
          <w:sz w:val="24"/>
        </w:rPr>
      </w:pPr>
      <w:r>
        <w:rPr>
          <w:rFonts w:ascii="仿宋" w:hAnsi="仿宋" w:eastAsia="仿宋" w:cs="仿宋"/>
          <w:color w:val="000000"/>
          <w:kern w:val="0"/>
          <w:sz w:val="24"/>
        </w:rPr>
        <w:t>明确性原则</w:t>
      </w:r>
      <w:r>
        <w:rPr>
          <w:rFonts w:hint="eastAsia" w:ascii="仿宋" w:hAnsi="仿宋" w:eastAsia="仿宋" w:cs="仿宋"/>
          <w:color w:val="000000"/>
          <w:kern w:val="0"/>
          <w:sz w:val="24"/>
        </w:rPr>
        <w:t>：</w:t>
      </w:r>
      <w:r>
        <w:rPr>
          <w:rFonts w:hint="eastAsia" w:ascii="仿宋" w:hAnsi="仿宋" w:eastAsia="仿宋" w:cs="仿宋"/>
          <w:color w:val="000000"/>
          <w:kern w:val="0"/>
          <w:sz w:val="24"/>
          <w:lang w:eastAsia="zh-Hans"/>
        </w:rPr>
        <w:t>同一</w:t>
      </w:r>
      <w:r>
        <w:rPr>
          <w:rFonts w:hint="eastAsia" w:ascii="仿宋" w:hAnsi="仿宋" w:eastAsia="仿宋" w:cs="仿宋"/>
          <w:color w:val="000000"/>
          <w:kern w:val="0"/>
          <w:sz w:val="24"/>
        </w:rPr>
        <w:t>层级的数据类目间应界限分明。当数据类目名称不能明确各自界限时，可以用注释来加以明确。</w:t>
      </w:r>
    </w:p>
    <w:p>
      <w:pPr>
        <w:pStyle w:val="36"/>
        <w:numPr>
          <w:ilvl w:val="0"/>
          <w:numId w:val="29"/>
        </w:numPr>
        <w:spacing w:line="360" w:lineRule="auto"/>
        <w:ind w:firstLineChars="0"/>
        <w:rPr>
          <w:rFonts w:ascii="仿宋" w:hAnsi="仿宋" w:eastAsia="仿宋" w:cs="仿宋"/>
          <w:color w:val="000000"/>
          <w:kern w:val="0"/>
          <w:sz w:val="24"/>
        </w:rPr>
      </w:pPr>
      <w:r>
        <w:rPr>
          <w:rFonts w:ascii="仿宋" w:hAnsi="仿宋" w:eastAsia="仿宋" w:cs="仿宋"/>
          <w:color w:val="000000"/>
          <w:kern w:val="0"/>
          <w:sz w:val="24"/>
        </w:rPr>
        <w:t>扩展性原则</w:t>
      </w:r>
      <w:r>
        <w:rPr>
          <w:rFonts w:hint="eastAsia" w:ascii="仿宋" w:hAnsi="仿宋" w:eastAsia="仿宋" w:cs="仿宋"/>
          <w:color w:val="000000"/>
          <w:kern w:val="0"/>
          <w:sz w:val="24"/>
        </w:rPr>
        <w:t>：充分考虑国际国内发展趋势，定期征询相关专家咨询组织和各部门意见，不断完善分级分类规则。</w:t>
      </w:r>
    </w:p>
    <w:p>
      <w:pPr>
        <w:rPr>
          <w:rFonts w:ascii="仿宋" w:hAnsi="仿宋" w:eastAsia="仿宋" w:cs="仿宋"/>
        </w:rPr>
      </w:pPr>
    </w:p>
    <w:p>
      <w:pPr>
        <w:pStyle w:val="28"/>
        <w:ind w:left="0"/>
        <w:rPr>
          <w:rFonts w:ascii="仿宋" w:hAnsi="仿宋" w:cs="仿宋"/>
          <w:sz w:val="24"/>
        </w:rPr>
      </w:pPr>
      <w:r>
        <w:rPr>
          <w:rFonts w:ascii="仿宋" w:hAnsi="仿宋" w:cs="仿宋"/>
          <w:sz w:val="24"/>
        </w:rPr>
        <w:t xml:space="preserve"> 数据分类标准</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本制度中所指的“数据”是信息的表现形式和载体，是指公司所持有的一切数据，包括但不限于各类应用系统（</w:t>
      </w:r>
      <w:r>
        <w:rPr>
          <w:rFonts w:ascii="仿宋" w:hAnsi="仿宋" w:eastAsia="仿宋" w:cs="仿宋"/>
          <w:color w:val="000000"/>
          <w:kern w:val="0"/>
          <w:sz w:val="24"/>
        </w:rPr>
        <w:t>Web应用和APP</w:t>
      </w:r>
      <w:r>
        <w:rPr>
          <w:rFonts w:hint="eastAsia" w:ascii="仿宋" w:hAnsi="仿宋" w:eastAsia="仿宋" w:cs="仿宋"/>
          <w:color w:val="000000"/>
          <w:kern w:val="0"/>
          <w:sz w:val="24"/>
        </w:rPr>
        <w:t>）采集或产生的数据、各类应用服务产生的数据（如</w:t>
      </w:r>
      <w:r>
        <w:rPr>
          <w:rFonts w:ascii="仿宋" w:hAnsi="仿宋" w:eastAsia="仿宋" w:cs="仿宋"/>
          <w:color w:val="000000"/>
          <w:kern w:val="0"/>
          <w:sz w:val="24"/>
        </w:rPr>
        <w:t>Wiki</w:t>
      </w:r>
      <w:r>
        <w:rPr>
          <w:rFonts w:hint="eastAsia" w:ascii="仿宋" w:hAnsi="仿宋" w:eastAsia="仿宋" w:cs="仿宋"/>
          <w:color w:val="000000"/>
          <w:kern w:val="0"/>
          <w:sz w:val="24"/>
        </w:rPr>
        <w:t>等）、数据库存储或产生数据、数据仓库存储或产生数据、自动化工具（如软件开发工具包</w:t>
      </w:r>
      <w:r>
        <w:rPr>
          <w:rFonts w:ascii="仿宋" w:hAnsi="仿宋" w:eastAsia="仿宋" w:cs="仿宋"/>
          <w:color w:val="000000"/>
          <w:kern w:val="0"/>
          <w:sz w:val="24"/>
        </w:rPr>
        <w:t>SDK</w:t>
      </w:r>
      <w:r>
        <w:rPr>
          <w:rFonts w:hint="eastAsia" w:ascii="仿宋" w:hAnsi="仿宋" w:eastAsia="仿宋" w:cs="仿宋"/>
          <w:color w:val="000000"/>
          <w:kern w:val="0"/>
          <w:sz w:val="24"/>
        </w:rPr>
        <w:t>、</w:t>
      </w:r>
      <w:r>
        <w:rPr>
          <w:rFonts w:ascii="仿宋" w:hAnsi="仿宋" w:eastAsia="仿宋" w:cs="仿宋"/>
          <w:color w:val="000000"/>
          <w:kern w:val="0"/>
          <w:sz w:val="24"/>
        </w:rPr>
        <w:t>统计分析工具</w:t>
      </w:r>
      <w:r>
        <w:rPr>
          <w:rFonts w:hint="eastAsia" w:ascii="仿宋" w:hAnsi="仿宋" w:eastAsia="仿宋" w:cs="仿宋"/>
          <w:color w:val="000000"/>
          <w:kern w:val="0"/>
          <w:sz w:val="24"/>
        </w:rPr>
        <w:t>、</w:t>
      </w:r>
      <w:r>
        <w:rPr>
          <w:rFonts w:ascii="仿宋" w:hAnsi="仿宋" w:eastAsia="仿宋" w:cs="仿宋"/>
          <w:color w:val="000000"/>
          <w:kern w:val="0"/>
          <w:sz w:val="24"/>
        </w:rPr>
        <w:t>Shell脚本</w:t>
      </w:r>
      <w:r>
        <w:rPr>
          <w:rFonts w:hint="eastAsia" w:ascii="仿宋" w:hAnsi="仿宋" w:eastAsia="仿宋" w:cs="仿宋"/>
          <w:color w:val="000000"/>
          <w:kern w:val="0"/>
          <w:sz w:val="24"/>
        </w:rPr>
        <w:t>）采集的数据、网络设备及终端设备产生的数据、终端设备数据外部传入的数据、线下数据载体记录的数据，以及其它形式记录、处理后的数据等，如数字、文字、语言、图像、视频、程序代码、配置命令、源数据、二次加工（如匿名化、去标识化）后的数据、邮件信息、通知信息、</w:t>
      </w:r>
      <w:r>
        <w:rPr>
          <w:rFonts w:ascii="仿宋" w:hAnsi="仿宋" w:eastAsia="仿宋" w:cs="仿宋"/>
          <w:color w:val="000000"/>
          <w:kern w:val="0"/>
          <w:sz w:val="24"/>
        </w:rPr>
        <w:t>企业一般管理数据</w:t>
      </w:r>
      <w:r>
        <w:rPr>
          <w:rFonts w:hint="eastAsia" w:ascii="仿宋" w:hAnsi="仿宋" w:eastAsia="仿宋" w:cs="仿宋"/>
          <w:color w:val="000000"/>
          <w:kern w:val="0"/>
          <w:sz w:val="24"/>
        </w:rPr>
        <w:t>、</w:t>
      </w:r>
      <w:r>
        <w:rPr>
          <w:rFonts w:ascii="仿宋" w:hAnsi="仿宋" w:eastAsia="仿宋" w:cs="仿宋"/>
          <w:color w:val="000000"/>
          <w:kern w:val="0"/>
          <w:sz w:val="24"/>
        </w:rPr>
        <w:t>分析类信息</w:t>
      </w:r>
      <w:r>
        <w:rPr>
          <w:rFonts w:hint="eastAsia" w:ascii="仿宋" w:hAnsi="仿宋" w:eastAsia="仿宋" w:cs="仿宋"/>
          <w:color w:val="000000"/>
          <w:kern w:val="0"/>
          <w:sz w:val="24"/>
        </w:rPr>
        <w:t>（如日志告警、自动化分析构建的用户画像等）、</w:t>
      </w:r>
      <w:r>
        <w:rPr>
          <w:rFonts w:ascii="仿宋" w:hAnsi="仿宋" w:eastAsia="仿宋" w:cs="仿宋"/>
          <w:color w:val="000000"/>
          <w:kern w:val="0"/>
          <w:sz w:val="24"/>
        </w:rPr>
        <w:t>日志记录</w:t>
      </w:r>
      <w:r>
        <w:rPr>
          <w:rFonts w:hint="eastAsia" w:ascii="仿宋" w:hAnsi="仿宋" w:eastAsia="仿宋" w:cs="仿宋"/>
          <w:color w:val="000000"/>
          <w:kern w:val="0"/>
          <w:sz w:val="24"/>
        </w:rPr>
        <w:t>、</w:t>
      </w:r>
      <w:r>
        <w:rPr>
          <w:rFonts w:ascii="仿宋" w:hAnsi="仿宋" w:eastAsia="仿宋" w:cs="仿宋"/>
          <w:color w:val="000000"/>
          <w:kern w:val="0"/>
          <w:sz w:val="24"/>
        </w:rPr>
        <w:t>消费信息和账单</w:t>
      </w:r>
      <w:r>
        <w:rPr>
          <w:rFonts w:hint="eastAsia" w:ascii="仿宋" w:hAnsi="仿宋" w:eastAsia="仿宋" w:cs="仿宋"/>
          <w:color w:val="000000"/>
          <w:kern w:val="0"/>
          <w:sz w:val="24"/>
        </w:rPr>
        <w:t>、</w:t>
      </w:r>
      <w:r>
        <w:rPr>
          <w:rFonts w:ascii="仿宋" w:hAnsi="仿宋" w:eastAsia="仿宋" w:cs="仿宋"/>
          <w:color w:val="000000"/>
          <w:kern w:val="0"/>
          <w:sz w:val="24"/>
        </w:rPr>
        <w:t>商业秘密</w:t>
      </w:r>
      <w:r>
        <w:rPr>
          <w:rFonts w:hint="eastAsia" w:ascii="仿宋" w:hAnsi="仿宋" w:eastAsia="仿宋" w:cs="仿宋"/>
          <w:color w:val="000000"/>
          <w:kern w:val="0"/>
          <w:sz w:val="24"/>
        </w:rPr>
        <w:t>、</w:t>
      </w:r>
      <w:r>
        <w:rPr>
          <w:rFonts w:ascii="仿宋" w:hAnsi="仿宋" w:eastAsia="仿宋" w:cs="仿宋"/>
          <w:color w:val="000000"/>
          <w:kern w:val="0"/>
          <w:sz w:val="24"/>
        </w:rPr>
        <w:t>个人信息</w:t>
      </w:r>
      <w:r>
        <w:rPr>
          <w:rFonts w:hint="eastAsia" w:ascii="仿宋" w:hAnsi="仿宋" w:eastAsia="仿宋" w:cs="仿宋"/>
          <w:color w:val="000000"/>
          <w:kern w:val="0"/>
          <w:sz w:val="24"/>
        </w:rPr>
        <w:t>、</w:t>
      </w:r>
      <w:r>
        <w:rPr>
          <w:rFonts w:ascii="仿宋" w:hAnsi="仿宋" w:eastAsia="仿宋" w:cs="仿宋"/>
          <w:color w:val="000000"/>
          <w:kern w:val="0"/>
          <w:sz w:val="24"/>
        </w:rPr>
        <w:t>保密商务信息</w:t>
      </w:r>
      <w:r>
        <w:rPr>
          <w:rFonts w:hint="eastAsia" w:ascii="仿宋" w:hAnsi="仿宋" w:eastAsia="仿宋" w:cs="仿宋"/>
          <w:color w:val="000000"/>
          <w:kern w:val="0"/>
          <w:sz w:val="24"/>
        </w:rPr>
        <w:t>等。</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综合分析公司的数据特征及适用场景，遵循以上数据安全分类分级原则，将公司数据主要划分为用户类、员工类、企业运营管理类、合作伙伴类四大类，并制定如下分类标准</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数据分类标准如下：</w:t>
      </w:r>
    </w:p>
    <w:p>
      <w:pPr>
        <w:pStyle w:val="36"/>
        <w:numPr>
          <w:ilvl w:val="0"/>
          <w:numId w:val="3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用户类</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公司产品和服务中涉及到的用户个人数据，如在用户注册、交易支付、使用产品和服务过程中的用户基本信息、交易信息等。</w:t>
      </w:r>
    </w:p>
    <w:p>
      <w:pPr>
        <w:pStyle w:val="36"/>
        <w:numPr>
          <w:ilvl w:val="0"/>
          <w:numId w:val="3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员工类</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公司所有员工、人员（包含签订劳动合同的员工、实习生以及其他签署劳动协议、劳务协议、派遣协议、顾问合同等的人员）的人事信息（如个人信息、家庭信息、关键岗位信息、薪酬信息等）等。</w:t>
      </w:r>
    </w:p>
    <w:p>
      <w:pPr>
        <w:pStyle w:val="36"/>
        <w:numPr>
          <w:ilvl w:val="0"/>
          <w:numId w:val="3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企业运营管理类</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公司经营、管理所产生的数据，如财务数据、业务发展及经营数据、资产数据、信息系统数据等。</w:t>
      </w:r>
    </w:p>
    <w:p>
      <w:pPr>
        <w:pStyle w:val="36"/>
        <w:numPr>
          <w:ilvl w:val="0"/>
          <w:numId w:val="3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合作伙伴类</w:t>
      </w:r>
    </w:p>
    <w:p>
      <w:pPr>
        <w:widowControl/>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来源于公司所属产品和服务的合作企业相关数据（如合作渠道、服务供应商的企业基本信息、合作数据等），以及合作伙伴的数据（如资产供应商的交易信息、测评服务商的整改建议书等）。</w:t>
      </w:r>
    </w:p>
    <w:p>
      <w:pPr>
        <w:widowControl/>
        <w:spacing w:line="360" w:lineRule="auto"/>
        <w:jc w:val="center"/>
        <w:rPr>
          <w:rFonts w:ascii="仿宋" w:hAnsi="仿宋" w:eastAsia="仿宋" w:cs="仿宋"/>
          <w:b/>
          <w:bCs/>
          <w:color w:val="000000"/>
          <w:kern w:val="0"/>
          <w:sz w:val="24"/>
          <w:lang w:bidi="ar"/>
        </w:rPr>
      </w:pPr>
    </w:p>
    <w:p>
      <w:pPr>
        <w:pStyle w:val="28"/>
        <w:ind w:left="0"/>
        <w:rPr>
          <w:rFonts w:ascii="仿宋" w:hAnsi="仿宋" w:cs="仿宋"/>
          <w:sz w:val="24"/>
        </w:rPr>
      </w:pPr>
      <w:r>
        <w:rPr>
          <w:rFonts w:hint="eastAsia" w:ascii="仿宋" w:hAnsi="仿宋" w:cs="仿宋"/>
          <w:sz w:val="24"/>
        </w:rPr>
        <w:t>数据分级标准</w:t>
      </w:r>
    </w:p>
    <w:p>
      <w:pPr>
        <w:widowControl/>
        <w:spacing w:line="360" w:lineRule="auto"/>
        <w:ind w:firstLine="480" w:firstLineChars="200"/>
        <w:rPr>
          <w:rFonts w:ascii="仿宋" w:hAnsi="仿宋" w:eastAsia="仿宋" w:cs="仿宋"/>
          <w:color w:val="000000"/>
          <w:kern w:val="0"/>
          <w:sz w:val="24"/>
        </w:rPr>
      </w:pPr>
      <w:r>
        <w:rPr>
          <w:rFonts w:ascii="仿宋" w:hAnsi="仿宋" w:eastAsia="仿宋" w:cs="仿宋"/>
          <w:color w:val="000000"/>
          <w:kern w:val="0"/>
          <w:sz w:val="24"/>
        </w:rPr>
        <w:t>根据数据的价值</w:t>
      </w:r>
      <w:r>
        <w:rPr>
          <w:rFonts w:hint="eastAsia" w:ascii="仿宋" w:hAnsi="仿宋" w:eastAsia="仿宋" w:cs="仿宋"/>
          <w:color w:val="000000"/>
          <w:kern w:val="0"/>
          <w:sz w:val="24"/>
        </w:rPr>
        <w:t>和</w:t>
      </w:r>
      <w:r>
        <w:rPr>
          <w:rFonts w:ascii="仿宋" w:hAnsi="仿宋" w:eastAsia="仿宋" w:cs="仿宋"/>
          <w:color w:val="000000"/>
          <w:kern w:val="0"/>
          <w:sz w:val="24"/>
        </w:rPr>
        <w:t>知密范围</w:t>
      </w:r>
      <w:r>
        <w:rPr>
          <w:rFonts w:hint="eastAsia" w:ascii="仿宋" w:hAnsi="仿宋" w:eastAsia="仿宋" w:cs="仿宋"/>
          <w:color w:val="000000"/>
          <w:kern w:val="0"/>
          <w:sz w:val="24"/>
        </w:rPr>
        <w:t>，以及数据的保密性、完整性和可用性遭受篡改、破坏、</w:t>
      </w:r>
      <w:r>
        <w:rPr>
          <w:rFonts w:ascii="仿宋" w:hAnsi="仿宋" w:eastAsia="仿宋" w:cs="仿宋"/>
          <w:color w:val="000000"/>
          <w:kern w:val="0"/>
          <w:sz w:val="24"/>
        </w:rPr>
        <w:t>泄露</w:t>
      </w:r>
      <w:r>
        <w:rPr>
          <w:rFonts w:hint="eastAsia" w:ascii="仿宋" w:hAnsi="仿宋" w:eastAsia="仿宋" w:cs="仿宋"/>
          <w:color w:val="000000"/>
          <w:kern w:val="0"/>
          <w:sz w:val="24"/>
        </w:rPr>
        <w:t>、</w:t>
      </w:r>
      <w:r>
        <w:rPr>
          <w:rFonts w:ascii="仿宋" w:hAnsi="仿宋" w:eastAsia="仿宋" w:cs="仿宋"/>
          <w:color w:val="000000"/>
          <w:kern w:val="0"/>
          <w:sz w:val="24"/>
        </w:rPr>
        <w:t>丢失或被非法利用</w:t>
      </w:r>
      <w:r>
        <w:rPr>
          <w:rFonts w:hint="eastAsia" w:ascii="仿宋" w:hAnsi="仿宋" w:eastAsia="仿宋" w:cs="仿宋"/>
          <w:color w:val="000000"/>
          <w:kern w:val="0"/>
          <w:sz w:val="24"/>
        </w:rPr>
        <w:t>，</w:t>
      </w:r>
      <w:r>
        <w:rPr>
          <w:rFonts w:ascii="仿宋" w:hAnsi="仿宋" w:eastAsia="仿宋" w:cs="仿宋"/>
          <w:color w:val="000000"/>
          <w:kern w:val="0"/>
          <w:sz w:val="24"/>
        </w:rPr>
        <w:t>对自然人</w:t>
      </w:r>
      <w:r>
        <w:rPr>
          <w:rFonts w:hint="eastAsia" w:ascii="仿宋" w:hAnsi="仿宋" w:eastAsia="仿宋" w:cs="仿宋"/>
          <w:color w:val="000000"/>
          <w:kern w:val="0"/>
          <w:sz w:val="24"/>
        </w:rPr>
        <w:t>、</w:t>
      </w:r>
      <w:r>
        <w:rPr>
          <w:rFonts w:ascii="仿宋" w:hAnsi="仿宋" w:eastAsia="仿宋" w:cs="仿宋"/>
          <w:color w:val="000000"/>
          <w:kern w:val="0"/>
          <w:sz w:val="24"/>
        </w:rPr>
        <w:t>法人和其他组织</w:t>
      </w:r>
      <w:r>
        <w:rPr>
          <w:rFonts w:hint="eastAsia" w:ascii="仿宋" w:hAnsi="仿宋" w:eastAsia="仿宋" w:cs="仿宋"/>
          <w:color w:val="000000"/>
          <w:kern w:val="0"/>
          <w:sz w:val="24"/>
        </w:rPr>
        <w:t>，</w:t>
      </w:r>
      <w:r>
        <w:rPr>
          <w:rFonts w:ascii="仿宋" w:hAnsi="仿宋" w:eastAsia="仿宋" w:cs="仿宋"/>
          <w:color w:val="000000"/>
          <w:kern w:val="0"/>
          <w:sz w:val="24"/>
        </w:rPr>
        <w:t>以及社会秩序</w:t>
      </w:r>
      <w:r>
        <w:rPr>
          <w:rFonts w:hint="eastAsia" w:ascii="仿宋" w:hAnsi="仿宋" w:eastAsia="仿宋" w:cs="仿宋"/>
          <w:color w:val="000000"/>
          <w:kern w:val="0"/>
          <w:sz w:val="24"/>
        </w:rPr>
        <w:t>、</w:t>
      </w:r>
      <w:r>
        <w:rPr>
          <w:rFonts w:ascii="仿宋" w:hAnsi="仿宋" w:eastAsia="仿宋" w:cs="仿宋"/>
          <w:color w:val="000000"/>
          <w:kern w:val="0"/>
          <w:sz w:val="24"/>
        </w:rPr>
        <w:t>公共利益和国家安全等带来的潜在影响</w:t>
      </w:r>
      <w:r>
        <w:rPr>
          <w:rFonts w:hint="eastAsia" w:ascii="仿宋" w:hAnsi="仿宋" w:eastAsia="仿宋" w:cs="仿宋"/>
          <w:color w:val="000000"/>
          <w:kern w:val="0"/>
          <w:sz w:val="24"/>
        </w:rPr>
        <w:t>，将以上类别的数据进行数据分级，按照敏感程度由低到高分为公开数据（</w:t>
      </w:r>
      <w:r>
        <w:rPr>
          <w:rFonts w:ascii="仿宋" w:hAnsi="仿宋" w:eastAsia="仿宋" w:cs="仿宋"/>
          <w:color w:val="000000"/>
          <w:kern w:val="0"/>
          <w:sz w:val="24"/>
        </w:rPr>
        <w:t>C1级</w:t>
      </w:r>
      <w:r>
        <w:rPr>
          <w:rFonts w:hint="eastAsia" w:ascii="仿宋" w:hAnsi="仿宋" w:eastAsia="仿宋" w:cs="仿宋"/>
          <w:color w:val="000000"/>
          <w:kern w:val="0"/>
          <w:sz w:val="24"/>
        </w:rPr>
        <w:t>）、内部受限数据（</w:t>
      </w:r>
      <w:r>
        <w:rPr>
          <w:rFonts w:ascii="仿宋" w:hAnsi="仿宋" w:eastAsia="仿宋" w:cs="仿宋"/>
          <w:color w:val="000000"/>
          <w:kern w:val="0"/>
          <w:sz w:val="24"/>
        </w:rPr>
        <w:t>C2级</w:t>
      </w:r>
      <w:r>
        <w:rPr>
          <w:rFonts w:hint="eastAsia" w:ascii="仿宋" w:hAnsi="仿宋" w:eastAsia="仿宋" w:cs="仿宋"/>
          <w:color w:val="000000"/>
          <w:kern w:val="0"/>
          <w:sz w:val="24"/>
        </w:rPr>
        <w:t>）、</w:t>
      </w:r>
      <w:r>
        <w:rPr>
          <w:rFonts w:ascii="仿宋" w:hAnsi="仿宋" w:eastAsia="仿宋" w:cs="仿宋"/>
          <w:color w:val="000000"/>
          <w:kern w:val="0"/>
          <w:sz w:val="24"/>
        </w:rPr>
        <w:t>机密数据</w:t>
      </w:r>
      <w:r>
        <w:rPr>
          <w:rFonts w:hint="eastAsia" w:ascii="仿宋" w:hAnsi="仿宋" w:eastAsia="仿宋" w:cs="仿宋"/>
          <w:color w:val="000000"/>
          <w:kern w:val="0"/>
          <w:sz w:val="24"/>
        </w:rPr>
        <w:t>（</w:t>
      </w:r>
      <w:r>
        <w:rPr>
          <w:rFonts w:ascii="仿宋" w:hAnsi="仿宋" w:eastAsia="仿宋" w:cs="仿宋"/>
          <w:color w:val="000000"/>
          <w:kern w:val="0"/>
          <w:sz w:val="24"/>
        </w:rPr>
        <w:t>C3级</w:t>
      </w:r>
      <w:r>
        <w:rPr>
          <w:rFonts w:hint="eastAsia" w:ascii="仿宋" w:hAnsi="仿宋" w:eastAsia="仿宋" w:cs="仿宋"/>
          <w:color w:val="000000"/>
          <w:kern w:val="0"/>
          <w:sz w:val="24"/>
        </w:rPr>
        <w:t>）、</w:t>
      </w:r>
      <w:r>
        <w:rPr>
          <w:rFonts w:ascii="仿宋" w:hAnsi="仿宋" w:eastAsia="仿宋" w:cs="仿宋"/>
          <w:color w:val="000000"/>
          <w:kern w:val="0"/>
          <w:sz w:val="24"/>
        </w:rPr>
        <w:t>绝密数据</w:t>
      </w:r>
      <w:r>
        <w:rPr>
          <w:rFonts w:hint="eastAsia" w:ascii="仿宋" w:hAnsi="仿宋" w:eastAsia="仿宋" w:cs="仿宋"/>
          <w:color w:val="000000"/>
          <w:kern w:val="0"/>
          <w:sz w:val="24"/>
        </w:rPr>
        <w:t>（</w:t>
      </w:r>
      <w:r>
        <w:rPr>
          <w:rFonts w:ascii="仿宋" w:hAnsi="仿宋" w:eastAsia="仿宋" w:cs="仿宋"/>
          <w:color w:val="000000"/>
          <w:kern w:val="0"/>
          <w:sz w:val="24"/>
        </w:rPr>
        <w:t>C4级</w:t>
      </w:r>
      <w:r>
        <w:rPr>
          <w:rFonts w:hint="eastAsia" w:ascii="仿宋" w:hAnsi="仿宋" w:eastAsia="仿宋" w:cs="仿宋"/>
          <w:color w:val="000000"/>
          <w:kern w:val="0"/>
          <w:sz w:val="24"/>
        </w:rPr>
        <w:t>）四个级别。数据安全分级标准如下表</w:t>
      </w:r>
      <w:r>
        <w:rPr>
          <w:rFonts w:ascii="仿宋" w:hAnsi="仿宋" w:eastAsia="仿宋" w:cs="仿宋"/>
          <w:color w:val="000000"/>
          <w:kern w:val="0"/>
          <w:sz w:val="24"/>
        </w:rPr>
        <w:t>2所示：</w:t>
      </w:r>
    </w:p>
    <w:p>
      <w:pPr>
        <w:widowControl/>
        <w:spacing w:line="360" w:lineRule="auto"/>
        <w:rPr>
          <w:rFonts w:ascii="仿宋" w:hAnsi="仿宋" w:eastAsia="仿宋" w:cs="仿宋"/>
        </w:rPr>
      </w:pPr>
      <w:r>
        <w:rPr>
          <w:rFonts w:ascii="仿宋" w:hAnsi="仿宋" w:eastAsia="仿宋" w:cs="仿宋"/>
        </w:rPr>
        <w:t xml:space="preserve"> </w:t>
      </w:r>
    </w:p>
    <w:tbl>
      <w:tblPr>
        <w:tblStyle w:val="18"/>
        <w:tblW w:w="10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2"/>
        <w:gridCol w:w="2268"/>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6" w:hRule="atLeast"/>
          <w:tblHeader/>
          <w:jc w:val="center"/>
        </w:trPr>
        <w:tc>
          <w:tcPr>
            <w:tcW w:w="17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60" w:lineRule="auto"/>
              <w:jc w:val="center"/>
              <w:rPr>
                <w:rFonts w:ascii="仿宋" w:hAnsi="仿宋" w:eastAsia="仿宋" w:cs="仿宋"/>
                <w:b/>
                <w:sz w:val="24"/>
              </w:rPr>
            </w:pPr>
            <w:r>
              <w:rPr>
                <w:rFonts w:hint="eastAsia" w:ascii="仿宋" w:hAnsi="仿宋" w:eastAsia="仿宋" w:cs="仿宋"/>
                <w:b/>
                <w:sz w:val="24"/>
              </w:rPr>
              <w:t>数据级别标识</w:t>
            </w:r>
          </w:p>
        </w:tc>
        <w:tc>
          <w:tcPr>
            <w:tcW w:w="226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60" w:lineRule="auto"/>
              <w:jc w:val="center"/>
              <w:rPr>
                <w:rFonts w:ascii="仿宋" w:hAnsi="仿宋" w:eastAsia="仿宋" w:cs="仿宋"/>
                <w:b/>
                <w:sz w:val="24"/>
              </w:rPr>
            </w:pPr>
            <w:r>
              <w:rPr>
                <w:rFonts w:hint="eastAsia" w:ascii="仿宋" w:hAnsi="仿宋" w:eastAsia="仿宋" w:cs="仿宋"/>
                <w:b/>
                <w:sz w:val="24"/>
              </w:rPr>
              <w:t>数据</w:t>
            </w:r>
            <w:r>
              <w:rPr>
                <w:rFonts w:ascii="仿宋" w:hAnsi="仿宋" w:eastAsia="仿宋" w:cs="仿宋"/>
                <w:b/>
                <w:sz w:val="24"/>
              </w:rPr>
              <w:t>重要程度标识</w:t>
            </w:r>
          </w:p>
        </w:tc>
        <w:tc>
          <w:tcPr>
            <w:tcW w:w="6662"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widowControl/>
              <w:spacing w:line="360" w:lineRule="auto"/>
              <w:jc w:val="center"/>
              <w:rPr>
                <w:rFonts w:ascii="仿宋" w:hAnsi="仿宋" w:eastAsia="仿宋" w:cs="仿宋"/>
                <w:b/>
                <w:sz w:val="24"/>
              </w:rPr>
            </w:pPr>
            <w:r>
              <w:rPr>
                <w:rFonts w:hint="eastAsia" w:ascii="仿宋" w:hAnsi="仿宋" w:eastAsia="仿宋" w:cs="仿宋"/>
                <w:b/>
                <w:sz w:val="24"/>
              </w:rPr>
              <w:t>定级</w:t>
            </w:r>
            <w:r>
              <w:rPr>
                <w:rFonts w:ascii="仿宋" w:hAnsi="仿宋" w:eastAsia="仿宋" w:cs="仿宋"/>
                <w:b/>
                <w:sz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仿宋" w:hAnsi="仿宋" w:eastAsia="仿宋" w:cs="仿宋"/>
                <w:sz w:val="20"/>
                <w:szCs w:val="21"/>
              </w:rPr>
            </w:pPr>
            <w:r>
              <w:rPr>
                <w:rFonts w:ascii="仿宋" w:hAnsi="仿宋" w:eastAsia="仿宋" w:cs="仿宋"/>
                <w:sz w:val="20"/>
                <w:szCs w:val="21"/>
              </w:rPr>
              <w:t>C1</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仿宋" w:hAnsi="仿宋" w:eastAsia="仿宋" w:cs="仿宋"/>
                <w:sz w:val="20"/>
                <w:szCs w:val="21"/>
              </w:rPr>
            </w:pPr>
            <w:r>
              <w:rPr>
                <w:rFonts w:ascii="仿宋" w:hAnsi="仿宋" w:eastAsia="仿宋" w:cs="仿宋"/>
                <w:sz w:val="20"/>
                <w:szCs w:val="21"/>
              </w:rPr>
              <w:t>低敏感级</w:t>
            </w:r>
          </w:p>
        </w:tc>
        <w:tc>
          <w:tcPr>
            <w:tcW w:w="6662" w:type="dxa"/>
            <w:tcBorders>
              <w:top w:val="single" w:color="auto" w:sz="4" w:space="0"/>
              <w:left w:val="single" w:color="auto" w:sz="4" w:space="0"/>
              <w:bottom w:val="single" w:color="auto" w:sz="4" w:space="0"/>
              <w:right w:val="single" w:color="auto" w:sz="4" w:space="0"/>
            </w:tcBorders>
          </w:tcPr>
          <w:p>
            <w:pPr>
              <w:pStyle w:val="36"/>
              <w:numPr>
                <w:ilvl w:val="0"/>
                <w:numId w:val="31"/>
              </w:numPr>
              <w:autoSpaceDE w:val="0"/>
              <w:autoSpaceDN w:val="0"/>
              <w:adjustRightInd w:val="0"/>
              <w:spacing w:line="360" w:lineRule="auto"/>
              <w:ind w:firstLineChars="0"/>
              <w:jc w:val="left"/>
              <w:rPr>
                <w:rFonts w:ascii="仿宋" w:hAnsi="仿宋" w:eastAsia="仿宋" w:cs="仿宋"/>
                <w:kern w:val="0"/>
                <w:sz w:val="20"/>
                <w:szCs w:val="21"/>
              </w:rPr>
            </w:pPr>
            <w:r>
              <w:rPr>
                <w:rFonts w:hint="eastAsia" w:ascii="仿宋" w:hAnsi="仿宋" w:eastAsia="仿宋" w:cs="仿宋"/>
                <w:kern w:val="0"/>
                <w:sz w:val="20"/>
                <w:szCs w:val="21"/>
              </w:rPr>
              <w:t>适合对外向任何人开放，或可被公开获取、使用。</w:t>
            </w:r>
          </w:p>
          <w:p>
            <w:pPr>
              <w:pStyle w:val="36"/>
              <w:numPr>
                <w:ilvl w:val="0"/>
                <w:numId w:val="31"/>
              </w:numPr>
              <w:autoSpaceDE w:val="0"/>
              <w:autoSpaceDN w:val="0"/>
              <w:adjustRightInd w:val="0"/>
              <w:spacing w:line="360" w:lineRule="auto"/>
              <w:ind w:firstLineChars="0"/>
              <w:jc w:val="left"/>
              <w:rPr>
                <w:rFonts w:ascii="仿宋" w:hAnsi="仿宋" w:eastAsia="仿宋" w:cs="仿宋"/>
                <w:kern w:val="0"/>
                <w:sz w:val="20"/>
                <w:szCs w:val="21"/>
              </w:rPr>
            </w:pPr>
            <w:r>
              <w:rPr>
                <w:rFonts w:ascii="仿宋" w:hAnsi="仿宋" w:eastAsia="仿宋" w:cs="仿宋"/>
                <w:kern w:val="0"/>
                <w:sz w:val="20"/>
                <w:szCs w:val="21"/>
              </w:rPr>
              <w:t>数据的</w:t>
            </w:r>
            <w:r>
              <w:rPr>
                <w:rFonts w:hint="eastAsia" w:ascii="仿宋" w:hAnsi="仿宋" w:eastAsia="仿宋" w:cs="仿宋"/>
                <w:kern w:val="0"/>
                <w:sz w:val="20"/>
                <w:szCs w:val="21"/>
              </w:rPr>
              <w:t>完整性、保密性、可用性遭受篡改、破坏、泄露、丢失或非法利用后，对个人、法人和其它组织、社会秩序和公共利益的</w:t>
            </w:r>
            <w:r>
              <w:rPr>
                <w:rFonts w:ascii="仿宋" w:hAnsi="仿宋" w:eastAsia="仿宋" w:cs="仿宋"/>
                <w:kern w:val="0"/>
                <w:sz w:val="20"/>
                <w:szCs w:val="21"/>
              </w:rPr>
              <w:t>影响程度</w:t>
            </w:r>
            <w:r>
              <w:rPr>
                <w:rFonts w:hint="eastAsia" w:ascii="仿宋" w:hAnsi="仿宋" w:eastAsia="仿宋" w:cs="仿宋"/>
                <w:kern w:val="0"/>
                <w:sz w:val="20"/>
                <w:szCs w:val="21"/>
              </w:rPr>
              <w:t>是“轻微”或“无”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52" w:type="dxa"/>
            <w:tcBorders>
              <w:top w:val="single" w:color="auto" w:sz="4" w:space="0"/>
            </w:tcBorders>
            <w:vAlign w:val="center"/>
          </w:tcPr>
          <w:p>
            <w:pPr>
              <w:widowControl/>
              <w:spacing w:line="360" w:lineRule="auto"/>
              <w:jc w:val="center"/>
              <w:rPr>
                <w:rFonts w:ascii="仿宋" w:hAnsi="仿宋" w:eastAsia="仿宋" w:cs="仿宋"/>
                <w:sz w:val="20"/>
                <w:szCs w:val="21"/>
              </w:rPr>
            </w:pPr>
            <w:r>
              <w:rPr>
                <w:rFonts w:ascii="仿宋" w:hAnsi="仿宋" w:eastAsia="仿宋" w:cs="仿宋"/>
                <w:sz w:val="20"/>
                <w:szCs w:val="21"/>
              </w:rPr>
              <w:t>C2</w:t>
            </w:r>
          </w:p>
        </w:tc>
        <w:tc>
          <w:tcPr>
            <w:tcW w:w="2268" w:type="dxa"/>
            <w:tcBorders>
              <w:top w:val="single" w:color="auto" w:sz="4" w:space="0"/>
            </w:tcBorders>
            <w:vAlign w:val="center"/>
          </w:tcPr>
          <w:p>
            <w:pPr>
              <w:widowControl/>
              <w:spacing w:line="360" w:lineRule="auto"/>
              <w:jc w:val="center"/>
              <w:rPr>
                <w:rFonts w:ascii="仿宋" w:hAnsi="仿宋" w:eastAsia="仿宋" w:cs="仿宋"/>
                <w:sz w:val="20"/>
                <w:szCs w:val="21"/>
              </w:rPr>
            </w:pPr>
            <w:r>
              <w:rPr>
                <w:rFonts w:ascii="仿宋" w:hAnsi="仿宋" w:eastAsia="仿宋" w:cs="仿宋"/>
                <w:sz w:val="20"/>
                <w:szCs w:val="21"/>
              </w:rPr>
              <w:t>较敏感级</w:t>
            </w:r>
          </w:p>
        </w:tc>
        <w:tc>
          <w:tcPr>
            <w:tcW w:w="6662" w:type="dxa"/>
            <w:tcBorders>
              <w:top w:val="single" w:color="auto" w:sz="4" w:space="0"/>
            </w:tcBorders>
            <w:vAlign w:val="center"/>
          </w:tcPr>
          <w:p>
            <w:pPr>
              <w:pStyle w:val="36"/>
              <w:widowControl/>
              <w:numPr>
                <w:ilvl w:val="0"/>
                <w:numId w:val="32"/>
              </w:numPr>
              <w:spacing w:line="360" w:lineRule="auto"/>
              <w:ind w:firstLineChars="0"/>
              <w:rPr>
                <w:rFonts w:ascii="仿宋" w:hAnsi="仿宋" w:eastAsia="仿宋" w:cs="仿宋"/>
                <w:sz w:val="20"/>
                <w:szCs w:val="21"/>
              </w:rPr>
            </w:pPr>
            <w:r>
              <w:rPr>
                <w:rFonts w:hint="eastAsia" w:ascii="仿宋" w:hAnsi="仿宋" w:eastAsia="仿宋" w:cs="仿宋"/>
                <w:sz w:val="20"/>
                <w:szCs w:val="21"/>
              </w:rPr>
              <w:t>公司</w:t>
            </w:r>
            <w:r>
              <w:rPr>
                <w:rFonts w:ascii="仿宋" w:hAnsi="仿宋" w:eastAsia="仿宋" w:cs="仿宋"/>
                <w:sz w:val="20"/>
                <w:szCs w:val="21"/>
              </w:rPr>
              <w:t>确定为内部公开的信息</w:t>
            </w:r>
            <w:r>
              <w:rPr>
                <w:rFonts w:hint="eastAsia" w:ascii="仿宋" w:hAnsi="仿宋" w:eastAsia="仿宋" w:cs="仿宋"/>
                <w:sz w:val="20"/>
                <w:szCs w:val="21"/>
              </w:rPr>
              <w:t>，</w:t>
            </w:r>
            <w:r>
              <w:rPr>
                <w:rFonts w:ascii="仿宋" w:hAnsi="仿宋" w:eastAsia="仿宋" w:cs="仿宋"/>
                <w:sz w:val="20"/>
                <w:szCs w:val="21"/>
              </w:rPr>
              <w:t>可以允许内部员工获取该信息不需要任何特殊授权</w:t>
            </w:r>
            <w:r>
              <w:rPr>
                <w:rFonts w:hint="eastAsia" w:ascii="仿宋" w:hAnsi="仿宋" w:eastAsia="仿宋" w:cs="仿宋"/>
                <w:sz w:val="20"/>
                <w:szCs w:val="21"/>
              </w:rPr>
              <w:t>。</w:t>
            </w:r>
          </w:p>
          <w:p>
            <w:pPr>
              <w:pStyle w:val="36"/>
              <w:widowControl/>
              <w:numPr>
                <w:ilvl w:val="0"/>
                <w:numId w:val="32"/>
              </w:numPr>
              <w:spacing w:line="360" w:lineRule="auto"/>
              <w:ind w:firstLineChars="0"/>
              <w:rPr>
                <w:rFonts w:ascii="仿宋" w:hAnsi="仿宋" w:eastAsia="仿宋" w:cs="仿宋"/>
                <w:sz w:val="20"/>
                <w:szCs w:val="21"/>
              </w:rPr>
            </w:pPr>
            <w:r>
              <w:rPr>
                <w:rFonts w:ascii="仿宋" w:hAnsi="仿宋" w:eastAsia="仿宋" w:cs="仿宋"/>
                <w:kern w:val="0"/>
                <w:sz w:val="20"/>
                <w:szCs w:val="21"/>
              </w:rPr>
              <w:t>数据的</w:t>
            </w:r>
            <w:r>
              <w:rPr>
                <w:rFonts w:hint="eastAsia" w:ascii="仿宋" w:hAnsi="仿宋" w:eastAsia="仿宋" w:cs="仿宋"/>
                <w:kern w:val="0"/>
                <w:sz w:val="20"/>
                <w:szCs w:val="21"/>
              </w:rPr>
              <w:t>完整性、保密性、可用性遭受篡改、破坏、泄露、丢失或非法利用后，对个人、法人和其它组织、社会秩序和公共利益造成一定的损害。</w:t>
            </w:r>
            <w:r>
              <w:rPr>
                <w:rFonts w:ascii="仿宋" w:hAnsi="仿宋" w:eastAsia="仿宋" w:cs="仿宋"/>
                <w:kern w:val="0"/>
                <w:sz w:val="20"/>
                <w:szCs w:val="21"/>
              </w:rPr>
              <w:t>影响程度</w:t>
            </w:r>
            <w:r>
              <w:rPr>
                <w:rFonts w:hint="eastAsia" w:ascii="仿宋" w:hAnsi="仿宋" w:eastAsia="仿宋" w:cs="仿宋"/>
                <w:kern w:val="0"/>
                <w:sz w:val="20"/>
                <w:szCs w:val="21"/>
              </w:rPr>
              <w:t>是“中等”或“轻微”</w:t>
            </w:r>
            <w:r>
              <w:rPr>
                <w:rFonts w:hint="eastAsia" w:ascii="仿宋" w:hAnsi="仿宋" w:eastAsia="仿宋" w:cs="仿宋"/>
                <w:color w:val="000000"/>
                <w:kern w:val="0"/>
                <w:sz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52" w:type="dxa"/>
            <w:vAlign w:val="center"/>
          </w:tcPr>
          <w:p>
            <w:pPr>
              <w:widowControl/>
              <w:spacing w:line="360" w:lineRule="auto"/>
              <w:jc w:val="center"/>
              <w:rPr>
                <w:rFonts w:ascii="仿宋" w:hAnsi="仿宋" w:eastAsia="仿宋" w:cs="仿宋"/>
                <w:sz w:val="20"/>
                <w:szCs w:val="21"/>
              </w:rPr>
            </w:pPr>
            <w:r>
              <w:rPr>
                <w:rFonts w:ascii="仿宋" w:hAnsi="仿宋" w:eastAsia="仿宋" w:cs="仿宋"/>
                <w:sz w:val="20"/>
                <w:szCs w:val="21"/>
              </w:rPr>
              <w:t>C3</w:t>
            </w:r>
          </w:p>
        </w:tc>
        <w:tc>
          <w:tcPr>
            <w:tcW w:w="2268" w:type="dxa"/>
            <w:vAlign w:val="center"/>
          </w:tcPr>
          <w:p>
            <w:pPr>
              <w:widowControl/>
              <w:spacing w:line="360" w:lineRule="auto"/>
              <w:jc w:val="center"/>
              <w:rPr>
                <w:rFonts w:ascii="仿宋" w:hAnsi="仿宋" w:eastAsia="仿宋" w:cs="仿宋"/>
                <w:sz w:val="20"/>
                <w:szCs w:val="21"/>
              </w:rPr>
            </w:pPr>
            <w:r>
              <w:rPr>
                <w:rFonts w:ascii="仿宋" w:hAnsi="仿宋" w:eastAsia="仿宋" w:cs="仿宋"/>
                <w:sz w:val="20"/>
                <w:szCs w:val="21"/>
              </w:rPr>
              <w:t>敏感级</w:t>
            </w:r>
          </w:p>
        </w:tc>
        <w:tc>
          <w:tcPr>
            <w:tcW w:w="6662" w:type="dxa"/>
          </w:tcPr>
          <w:p>
            <w:pPr>
              <w:pStyle w:val="36"/>
              <w:widowControl/>
              <w:numPr>
                <w:ilvl w:val="0"/>
                <w:numId w:val="33"/>
              </w:numPr>
              <w:spacing w:line="360" w:lineRule="auto"/>
              <w:ind w:firstLineChars="0"/>
              <w:jc w:val="left"/>
              <w:rPr>
                <w:rFonts w:ascii="仿宋" w:hAnsi="仿宋" w:eastAsia="仿宋" w:cs="仿宋"/>
                <w:sz w:val="20"/>
                <w:szCs w:val="21"/>
              </w:rPr>
            </w:pPr>
            <w:r>
              <w:rPr>
                <w:rFonts w:hint="eastAsia" w:ascii="仿宋" w:hAnsi="仿宋" w:eastAsia="仿宋" w:cs="仿宋"/>
                <w:sz w:val="20"/>
                <w:szCs w:val="21"/>
              </w:rPr>
              <w:t>仅数据责任主体、数据使用协同部门及相关人员可见（经数据责任主体授权）的数据（有条件开放与非开放数据），该类数据访问需要得到特别授权，知密范围应控制在使用角色级，</w:t>
            </w:r>
            <w:r>
              <w:rPr>
                <w:rFonts w:hint="eastAsia" w:ascii="仿宋" w:hAnsi="仿宋" w:eastAsia="仿宋" w:cs="仿宋"/>
                <w:bCs/>
                <w:color w:val="000000"/>
                <w:kern w:val="0"/>
                <w:sz w:val="20"/>
                <w:szCs w:val="21"/>
              </w:rPr>
              <w:t>经共享申请和审核后，符合条件的，按照特定方式提供给指定使用对象</w:t>
            </w:r>
            <w:r>
              <w:rPr>
                <w:rFonts w:hint="eastAsia" w:ascii="仿宋" w:hAnsi="仿宋" w:eastAsia="仿宋" w:cs="仿宋"/>
                <w:sz w:val="20"/>
                <w:szCs w:val="21"/>
              </w:rPr>
              <w:t>。</w:t>
            </w:r>
          </w:p>
          <w:p>
            <w:pPr>
              <w:pStyle w:val="36"/>
              <w:widowControl/>
              <w:numPr>
                <w:ilvl w:val="0"/>
                <w:numId w:val="33"/>
              </w:numPr>
              <w:spacing w:line="360" w:lineRule="auto"/>
              <w:ind w:firstLineChars="0"/>
              <w:rPr>
                <w:rFonts w:ascii="仿宋" w:hAnsi="仿宋" w:eastAsia="仿宋" w:cs="仿宋"/>
                <w:sz w:val="20"/>
                <w:szCs w:val="21"/>
              </w:rPr>
            </w:pPr>
            <w:r>
              <w:rPr>
                <w:rFonts w:ascii="仿宋" w:hAnsi="仿宋" w:eastAsia="仿宋" w:cs="仿宋"/>
                <w:sz w:val="20"/>
                <w:szCs w:val="21"/>
              </w:rPr>
              <w:t>数据的</w:t>
            </w:r>
            <w:r>
              <w:rPr>
                <w:rFonts w:hint="eastAsia" w:ascii="仿宋" w:hAnsi="仿宋" w:eastAsia="仿宋" w:cs="仿宋"/>
                <w:sz w:val="20"/>
                <w:szCs w:val="21"/>
              </w:rPr>
              <w:t>完整性、保密性、可用性遭受篡改、破坏、泄露、丢失或非法利用后，极易对个人、法人和其它组织、社会秩序和公共利益造成显著损害，明显影响部门开展业务和提供服务等。且在一定时期和阶段弥补损害需要耗费较大资源。</w:t>
            </w:r>
            <w:r>
              <w:rPr>
                <w:rFonts w:ascii="仿宋" w:hAnsi="仿宋" w:eastAsia="仿宋" w:cs="仿宋"/>
                <w:sz w:val="20"/>
                <w:szCs w:val="21"/>
              </w:rPr>
              <w:t>影响程度</w:t>
            </w:r>
            <w:r>
              <w:rPr>
                <w:rFonts w:hint="eastAsia" w:ascii="仿宋" w:hAnsi="仿宋" w:eastAsia="仿宋" w:cs="仿宋"/>
                <w:sz w:val="20"/>
                <w:szCs w:val="21"/>
              </w:rPr>
              <w:t>是“中等”或“严重”。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52" w:type="dxa"/>
            <w:vAlign w:val="center"/>
          </w:tcPr>
          <w:p>
            <w:pPr>
              <w:widowControl/>
              <w:spacing w:line="360" w:lineRule="auto"/>
              <w:jc w:val="center"/>
              <w:rPr>
                <w:rFonts w:ascii="仿宋" w:hAnsi="仿宋" w:eastAsia="仿宋" w:cs="仿宋"/>
                <w:sz w:val="20"/>
                <w:szCs w:val="21"/>
              </w:rPr>
            </w:pPr>
            <w:r>
              <w:rPr>
                <w:rFonts w:ascii="仿宋" w:hAnsi="仿宋" w:eastAsia="仿宋" w:cs="仿宋"/>
                <w:sz w:val="20"/>
                <w:szCs w:val="21"/>
              </w:rPr>
              <w:t>C4</w:t>
            </w:r>
          </w:p>
        </w:tc>
        <w:tc>
          <w:tcPr>
            <w:tcW w:w="2268" w:type="dxa"/>
            <w:vAlign w:val="center"/>
          </w:tcPr>
          <w:p>
            <w:pPr>
              <w:widowControl/>
              <w:spacing w:line="360" w:lineRule="auto"/>
              <w:jc w:val="center"/>
              <w:rPr>
                <w:rFonts w:ascii="仿宋" w:hAnsi="仿宋" w:eastAsia="仿宋" w:cs="仿宋"/>
                <w:sz w:val="20"/>
                <w:szCs w:val="21"/>
              </w:rPr>
            </w:pPr>
            <w:r>
              <w:rPr>
                <w:rFonts w:ascii="仿宋" w:hAnsi="仿宋" w:eastAsia="仿宋" w:cs="仿宋"/>
                <w:sz w:val="20"/>
                <w:szCs w:val="21"/>
              </w:rPr>
              <w:t>极敏感级</w:t>
            </w:r>
          </w:p>
        </w:tc>
        <w:tc>
          <w:tcPr>
            <w:tcW w:w="6662" w:type="dxa"/>
          </w:tcPr>
          <w:p>
            <w:pPr>
              <w:widowControl/>
              <w:numPr>
                <w:ilvl w:val="0"/>
                <w:numId w:val="34"/>
              </w:numPr>
              <w:spacing w:line="360" w:lineRule="auto"/>
              <w:jc w:val="left"/>
              <w:rPr>
                <w:rFonts w:ascii="仿宋" w:hAnsi="仿宋" w:eastAsia="仿宋" w:cs="仿宋"/>
                <w:color w:val="000000"/>
                <w:kern w:val="0"/>
                <w:sz w:val="20"/>
                <w:szCs w:val="21"/>
              </w:rPr>
            </w:pPr>
            <w:r>
              <w:rPr>
                <w:rFonts w:hint="eastAsia" w:ascii="仿宋" w:hAnsi="仿宋" w:eastAsia="仿宋" w:cs="仿宋"/>
                <w:color w:val="000000"/>
                <w:kern w:val="0"/>
                <w:sz w:val="20"/>
                <w:szCs w:val="21"/>
              </w:rPr>
              <w:t>非开放数据，仅少数人授权可见或完全不可见，其安全防护级别要求最高，且其使用必须被全程监控，不允许出现错误或要求错误在极短时间内可恢复等。</w:t>
            </w:r>
          </w:p>
          <w:p>
            <w:pPr>
              <w:widowControl/>
              <w:numPr>
                <w:ilvl w:val="0"/>
                <w:numId w:val="34"/>
              </w:numPr>
              <w:spacing w:line="360" w:lineRule="auto"/>
              <w:jc w:val="left"/>
              <w:rPr>
                <w:rFonts w:ascii="仿宋" w:hAnsi="仿宋" w:eastAsia="仿宋" w:cs="仿宋"/>
                <w:bCs/>
                <w:color w:val="000000"/>
                <w:kern w:val="0"/>
                <w:sz w:val="20"/>
                <w:szCs w:val="21"/>
              </w:rPr>
            </w:pPr>
            <w:r>
              <w:rPr>
                <w:rFonts w:ascii="仿宋" w:hAnsi="仿宋" w:eastAsia="仿宋" w:cs="仿宋"/>
                <w:color w:val="000000"/>
                <w:kern w:val="0"/>
                <w:sz w:val="20"/>
                <w:szCs w:val="21"/>
              </w:rPr>
              <w:t>数据的</w:t>
            </w:r>
            <w:r>
              <w:rPr>
                <w:rFonts w:hint="eastAsia" w:ascii="仿宋" w:hAnsi="仿宋" w:eastAsia="仿宋" w:cs="仿宋"/>
                <w:color w:val="000000"/>
                <w:kern w:val="0"/>
                <w:sz w:val="20"/>
                <w:szCs w:val="21"/>
              </w:rPr>
              <w:t>完整性、保密性、可用性遭受篡改、破坏、丢失或非法利用后，会对个人、法人和其它组织、社会秩序和公共利益造成严重损害，在一定时期和阶段弥补损害难以弥补或无法弥补。</w:t>
            </w:r>
            <w:r>
              <w:rPr>
                <w:rFonts w:ascii="仿宋" w:hAnsi="仿宋" w:eastAsia="仿宋" w:cs="仿宋"/>
                <w:color w:val="000000"/>
                <w:kern w:val="0"/>
                <w:sz w:val="20"/>
                <w:szCs w:val="21"/>
              </w:rPr>
              <w:t>影响程度</w:t>
            </w:r>
            <w:r>
              <w:rPr>
                <w:rFonts w:hint="eastAsia" w:ascii="仿宋" w:hAnsi="仿宋" w:eastAsia="仿宋" w:cs="仿宋"/>
                <w:color w:val="000000"/>
                <w:kern w:val="0"/>
                <w:sz w:val="20"/>
                <w:szCs w:val="21"/>
              </w:rPr>
              <w:t>是“严重”。</w:t>
            </w:r>
          </w:p>
        </w:tc>
      </w:tr>
    </w:tbl>
    <w:p>
      <w:pPr>
        <w:pStyle w:val="7"/>
        <w:jc w:val="center"/>
        <w:rPr>
          <w:rFonts w:ascii="仿宋" w:hAnsi="仿宋" w:eastAsia="仿宋"/>
        </w:rPr>
      </w:pPr>
      <w:r>
        <w:rPr>
          <w:rFonts w:hint="eastAsia" w:ascii="仿宋" w:hAnsi="仿宋" w:eastAsia="仿宋"/>
        </w:rPr>
        <w:t xml:space="preserve">表 </w:t>
      </w:r>
      <w:r>
        <w:rPr>
          <w:rFonts w:ascii="仿宋" w:hAnsi="仿宋" w:eastAsia="仿宋"/>
        </w:rPr>
        <w:fldChar w:fldCharType="begin"/>
      </w:r>
      <w:r>
        <w:rPr>
          <w:rFonts w:ascii="仿宋" w:hAnsi="仿宋" w:eastAsia="仿宋"/>
        </w:rPr>
        <w:instrText xml:space="preserve"> </w:instrText>
      </w:r>
      <w:r>
        <w:rPr>
          <w:rFonts w:hint="eastAsia" w:ascii="仿宋" w:hAnsi="仿宋" w:eastAsia="仿宋"/>
        </w:rPr>
        <w:instrText xml:space="preserve">SEQ 表 \* ARABIC</w:instrText>
      </w:r>
      <w:r>
        <w:rPr>
          <w:rFonts w:ascii="仿宋" w:hAnsi="仿宋" w:eastAsia="仿宋"/>
        </w:rPr>
        <w:instrText xml:space="preserve"> </w:instrText>
      </w:r>
      <w:r>
        <w:rPr>
          <w:rFonts w:ascii="仿宋" w:hAnsi="仿宋" w:eastAsia="仿宋"/>
        </w:rPr>
        <w:fldChar w:fldCharType="separate"/>
      </w:r>
      <w:r>
        <w:rPr>
          <w:rFonts w:ascii="仿宋" w:hAnsi="仿宋" w:eastAsia="仿宋"/>
        </w:rPr>
        <w:t>2</w:t>
      </w:r>
      <w:r>
        <w:rPr>
          <w:rFonts w:ascii="仿宋" w:hAnsi="仿宋" w:eastAsia="仿宋"/>
        </w:rPr>
        <w:fldChar w:fldCharType="end"/>
      </w:r>
      <w:r>
        <w:rPr>
          <w:rFonts w:ascii="仿宋" w:hAnsi="仿宋" w:eastAsia="仿宋"/>
        </w:rPr>
        <w:t xml:space="preserve"> </w:t>
      </w:r>
      <w:r>
        <w:rPr>
          <w:rFonts w:hint="eastAsia" w:ascii="仿宋" w:hAnsi="仿宋" w:eastAsia="仿宋"/>
        </w:rPr>
        <w:t>数据分级标准</w:t>
      </w:r>
    </w:p>
    <w:p>
      <w:pPr>
        <w:widowControl/>
        <w:spacing w:line="360" w:lineRule="auto"/>
        <w:ind w:firstLine="420" w:firstLineChars="200"/>
        <w:rPr>
          <w:rFonts w:ascii="仿宋" w:hAnsi="仿宋" w:eastAsia="仿宋" w:cs="仿宋"/>
        </w:rPr>
      </w:pPr>
      <w:r>
        <w:rPr>
          <w:rFonts w:hint="eastAsia" w:ascii="仿宋" w:hAnsi="仿宋" w:eastAsia="仿宋" w:cs="仿宋"/>
        </w:rPr>
        <w:t>注意：</w:t>
      </w:r>
      <w:r>
        <w:rPr>
          <w:rFonts w:ascii="仿宋" w:hAnsi="仿宋" w:eastAsia="仿宋" w:cs="仿宋"/>
        </w:rPr>
        <w:t xml:space="preserve"> </w:t>
      </w:r>
      <w:r>
        <w:rPr>
          <w:rFonts w:hint="eastAsia" w:ascii="仿宋" w:hAnsi="仿宋" w:eastAsia="仿宋" w:cs="仿宋"/>
        </w:rPr>
        <w:t>影响程度定义见附件四。</w:t>
      </w:r>
    </w:p>
    <w:p>
      <w:pPr>
        <w:widowControl/>
        <w:spacing w:line="360" w:lineRule="auto"/>
        <w:ind w:firstLine="420" w:firstLineChars="200"/>
        <w:sectPr>
          <w:pgSz w:w="11906" w:h="16838"/>
          <w:pgMar w:top="720" w:right="720" w:bottom="720" w:left="720" w:header="851" w:footer="992" w:gutter="0"/>
          <w:cols w:space="425" w:num="1"/>
          <w:docGrid w:type="lines" w:linePitch="312" w:charSpace="0"/>
        </w:sectPr>
      </w:pPr>
    </w:p>
    <w:p>
      <w:pPr>
        <w:widowControl/>
        <w:spacing w:line="360" w:lineRule="auto"/>
        <w:ind w:firstLine="420" w:firstLineChars="200"/>
      </w:pPr>
    </w:p>
    <w:p>
      <w:pPr>
        <w:pStyle w:val="28"/>
        <w:ind w:left="0"/>
        <w:rPr>
          <w:rFonts w:ascii="仿宋" w:hAnsi="仿宋" w:cs="仿宋"/>
          <w:sz w:val="24"/>
        </w:rPr>
      </w:pPr>
      <w:bookmarkStart w:id="0" w:name="_Toc325241493"/>
      <w:bookmarkStart w:id="1" w:name="_Toc256000081"/>
      <w:r>
        <w:rPr>
          <w:rFonts w:hint="eastAsia" w:ascii="仿宋" w:hAnsi="仿宋" w:cs="仿宋"/>
          <w:sz w:val="24"/>
        </w:rPr>
        <w:t>数据分类分级参考</w:t>
      </w:r>
    </w:p>
    <w:p>
      <w:pPr>
        <w:widowControl/>
        <w:spacing w:line="360" w:lineRule="auto"/>
        <w:ind w:firstLine="480" w:firstLineChars="200"/>
        <w:rPr>
          <w:rFonts w:ascii="仿宋" w:hAnsi="仿宋" w:eastAsia="仿宋" w:cs="仿宋"/>
          <w:color w:val="000000"/>
          <w:kern w:val="0"/>
          <w:sz w:val="24"/>
        </w:rPr>
      </w:pPr>
      <w:r>
        <w:rPr>
          <w:rFonts w:ascii="仿宋" w:hAnsi="仿宋" w:eastAsia="仿宋" w:cs="仿宋"/>
          <w:color w:val="000000"/>
          <w:kern w:val="0"/>
          <w:sz w:val="24"/>
        </w:rPr>
        <w:t>按照数据分类分级标准</w:t>
      </w:r>
      <w:r>
        <w:rPr>
          <w:rFonts w:hint="eastAsia" w:ascii="仿宋" w:hAnsi="仿宋" w:eastAsia="仿宋" w:cs="仿宋"/>
          <w:color w:val="000000"/>
          <w:kern w:val="0"/>
          <w:sz w:val="24"/>
        </w:rPr>
        <w:t>，</w:t>
      </w:r>
      <w:r>
        <w:rPr>
          <w:rFonts w:ascii="仿宋" w:hAnsi="仿宋" w:eastAsia="仿宋" w:cs="仿宋"/>
          <w:color w:val="000000"/>
          <w:kern w:val="0"/>
          <w:sz w:val="24"/>
        </w:rPr>
        <w:t>对公司所有数据进行归类汇总</w:t>
      </w:r>
      <w:r>
        <w:rPr>
          <w:rFonts w:hint="eastAsia" w:ascii="仿宋" w:hAnsi="仿宋" w:eastAsia="仿宋" w:cs="仿宋"/>
          <w:color w:val="000000"/>
          <w:kern w:val="0"/>
          <w:sz w:val="24"/>
        </w:rPr>
        <w:t>，</w:t>
      </w:r>
      <w:r>
        <w:rPr>
          <w:rFonts w:ascii="仿宋" w:hAnsi="仿宋" w:eastAsia="仿宋" w:cs="仿宋"/>
          <w:color w:val="000000"/>
          <w:kern w:val="0"/>
          <w:sz w:val="24"/>
        </w:rPr>
        <w:t>具体如下表3所示：</w:t>
      </w:r>
    </w:p>
    <w:p>
      <w:pPr>
        <w:widowControl/>
        <w:spacing w:line="360" w:lineRule="auto"/>
        <w:ind w:firstLine="420" w:firstLineChars="200"/>
      </w:pPr>
    </w:p>
    <w:tbl>
      <w:tblPr>
        <w:tblStyle w:val="18"/>
        <w:tblpPr w:leftFromText="180" w:rightFromText="180" w:vertAnchor="text" w:tblpXSpec="center" w:tblpY="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134"/>
        <w:gridCol w:w="3544"/>
        <w:gridCol w:w="4536"/>
      </w:tblGrid>
      <w:tr>
        <w:trPr>
          <w:trHeight w:val="20" w:hRule="atLeast"/>
          <w:tblHeader/>
          <w:jc w:val="center"/>
        </w:trPr>
        <w:tc>
          <w:tcPr>
            <w:tcW w:w="1242" w:type="dxa"/>
            <w:shd w:val="clear" w:color="auto" w:fill="D8D8D8" w:themeFill="background1" w:themeFillShade="D9"/>
            <w:vAlign w:val="center"/>
          </w:tcPr>
          <w:p>
            <w:pPr>
              <w:widowControl/>
              <w:spacing w:line="360" w:lineRule="auto"/>
              <w:jc w:val="center"/>
              <w:rPr>
                <w:rFonts w:ascii="仿宋" w:hAnsi="仿宋" w:eastAsia="仿宋" w:cs="仿宋"/>
                <w:b/>
                <w:sz w:val="24"/>
              </w:rPr>
            </w:pPr>
            <w:r>
              <w:rPr>
                <w:rFonts w:ascii="仿宋" w:hAnsi="仿宋" w:eastAsia="仿宋" w:cs="仿宋"/>
                <w:b/>
                <w:sz w:val="24"/>
              </w:rPr>
              <w:t>数据</w:t>
            </w:r>
            <w:r>
              <w:rPr>
                <w:rFonts w:hint="eastAsia" w:ascii="仿宋" w:hAnsi="仿宋" w:eastAsia="仿宋" w:cs="仿宋"/>
                <w:b/>
                <w:sz w:val="24"/>
              </w:rPr>
              <w:t>类型</w:t>
            </w:r>
          </w:p>
        </w:tc>
        <w:tc>
          <w:tcPr>
            <w:tcW w:w="1134" w:type="dxa"/>
            <w:shd w:val="clear" w:color="auto" w:fill="D8D8D8" w:themeFill="background1" w:themeFillShade="D9"/>
            <w:vAlign w:val="center"/>
          </w:tcPr>
          <w:p>
            <w:pPr>
              <w:widowControl/>
              <w:spacing w:line="360" w:lineRule="auto"/>
              <w:jc w:val="center"/>
              <w:rPr>
                <w:rFonts w:ascii="仿宋" w:hAnsi="仿宋" w:eastAsia="仿宋" w:cs="仿宋"/>
                <w:b/>
                <w:sz w:val="24"/>
              </w:rPr>
            </w:pPr>
            <w:r>
              <w:rPr>
                <w:rFonts w:ascii="仿宋" w:hAnsi="仿宋" w:eastAsia="仿宋" w:cs="仿宋"/>
                <w:b/>
                <w:sz w:val="24"/>
              </w:rPr>
              <w:t>数据级别标识</w:t>
            </w:r>
          </w:p>
        </w:tc>
        <w:tc>
          <w:tcPr>
            <w:tcW w:w="3544" w:type="dxa"/>
            <w:shd w:val="clear" w:color="auto" w:fill="D8D8D8" w:themeFill="background1" w:themeFillShade="D9"/>
            <w:vAlign w:val="center"/>
          </w:tcPr>
          <w:p>
            <w:pPr>
              <w:widowControl/>
              <w:spacing w:line="360" w:lineRule="auto"/>
              <w:jc w:val="center"/>
              <w:rPr>
                <w:rFonts w:ascii="仿宋" w:hAnsi="仿宋" w:eastAsia="仿宋" w:cs="仿宋"/>
                <w:b/>
                <w:sz w:val="24"/>
              </w:rPr>
            </w:pPr>
            <w:r>
              <w:rPr>
                <w:rFonts w:ascii="仿宋" w:hAnsi="仿宋" w:eastAsia="仿宋" w:cs="仿宋"/>
                <w:b/>
                <w:sz w:val="24"/>
              </w:rPr>
              <w:t>数据</w:t>
            </w:r>
            <w:r>
              <w:rPr>
                <w:rFonts w:hint="eastAsia" w:ascii="仿宋" w:hAnsi="仿宋" w:eastAsia="仿宋" w:cs="仿宋"/>
                <w:b/>
                <w:sz w:val="24"/>
              </w:rPr>
              <w:t>范围</w:t>
            </w:r>
          </w:p>
        </w:tc>
        <w:tc>
          <w:tcPr>
            <w:tcW w:w="4536" w:type="dxa"/>
            <w:shd w:val="clear" w:color="auto" w:fill="D8D8D8" w:themeFill="background1" w:themeFillShade="D9"/>
            <w:vAlign w:val="center"/>
          </w:tcPr>
          <w:p>
            <w:pPr>
              <w:widowControl/>
              <w:spacing w:line="360" w:lineRule="auto"/>
              <w:jc w:val="center"/>
              <w:rPr>
                <w:rFonts w:ascii="仿宋" w:hAnsi="仿宋" w:eastAsia="仿宋" w:cs="仿宋"/>
                <w:b/>
                <w:sz w:val="24"/>
              </w:rPr>
            </w:pPr>
            <w:r>
              <w:rPr>
                <w:rFonts w:ascii="仿宋" w:hAnsi="仿宋" w:eastAsia="仿宋" w:cs="仿宋"/>
                <w:b/>
                <w:sz w:val="24"/>
              </w:rPr>
              <w:t>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restart"/>
            <w:vAlign w:val="center"/>
          </w:tcPr>
          <w:p>
            <w:pPr>
              <w:widowControl/>
              <w:spacing w:line="360" w:lineRule="auto"/>
              <w:jc w:val="center"/>
              <w:rPr>
                <w:rFonts w:ascii="仿宋" w:hAnsi="仿宋" w:eastAsia="仿宋" w:cs="仿宋"/>
                <w:szCs w:val="21"/>
              </w:rPr>
            </w:pPr>
            <w:r>
              <w:rPr>
                <w:rFonts w:ascii="仿宋" w:hAnsi="仿宋" w:eastAsia="仿宋" w:cs="仿宋"/>
                <w:szCs w:val="21"/>
              </w:rPr>
              <w:t>用户类</w:t>
            </w:r>
          </w:p>
        </w:tc>
        <w:tc>
          <w:tcPr>
            <w:tcW w:w="1134" w:type="dxa"/>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1</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不适用</w:t>
            </w:r>
          </w:p>
        </w:tc>
        <w:tc>
          <w:tcPr>
            <w:tcW w:w="4536" w:type="dxa"/>
          </w:tcPr>
          <w:p>
            <w:pPr>
              <w:widowControl/>
              <w:spacing w:line="360" w:lineRule="auto"/>
              <w:rPr>
                <w:rFonts w:ascii="仿宋" w:hAnsi="仿宋" w:eastAsia="仿宋" w:cs="仿宋"/>
                <w:szCs w:val="21"/>
              </w:rPr>
            </w:pPr>
            <w:r>
              <w:rPr>
                <w:rFonts w:ascii="仿宋" w:hAnsi="仿宋" w:eastAsia="仿宋" w:cs="仿宋"/>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2</w:t>
            </w:r>
          </w:p>
        </w:tc>
        <w:tc>
          <w:tcPr>
            <w:tcW w:w="3544" w:type="dxa"/>
            <w:vAlign w:val="center"/>
          </w:tcPr>
          <w:p>
            <w:pPr>
              <w:widowControl/>
              <w:spacing w:line="360" w:lineRule="auto"/>
              <w:jc w:val="left"/>
              <w:rPr>
                <w:rFonts w:ascii="仿宋" w:hAnsi="仿宋" w:eastAsia="仿宋" w:cs="仿宋"/>
                <w:szCs w:val="21"/>
              </w:rPr>
            </w:pPr>
            <w:r>
              <w:rPr>
                <w:rFonts w:hint="eastAsia" w:ascii="仿宋" w:hAnsi="仿宋" w:eastAsia="仿宋" w:cs="仿宋"/>
                <w:szCs w:val="21"/>
              </w:rPr>
              <w:t>除个人敏感信息以外的个人信息</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szCs w:val="21"/>
              </w:rPr>
              <w:t>个人基本资料：年龄、性别、国籍等。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3</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除具有唯一标识符外的个人敏感信息</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szCs w:val="21"/>
              </w:rPr>
              <w:t>性取向、民族、好友列表、个人上网记录、交易信息等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restart"/>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4</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具有唯一标识符的个人敏感信息</w:t>
            </w:r>
          </w:p>
        </w:tc>
        <w:tc>
          <w:tcPr>
            <w:tcW w:w="4536" w:type="dxa"/>
          </w:tcPr>
          <w:p>
            <w:pPr>
              <w:widowControl/>
              <w:spacing w:line="360" w:lineRule="auto"/>
              <w:jc w:val="left"/>
              <w:rPr>
                <w:rFonts w:ascii="仿宋" w:hAnsi="仿宋" w:eastAsia="仿宋" w:cs="仿宋"/>
                <w:szCs w:val="21"/>
              </w:rPr>
            </w:pPr>
            <w:r>
              <w:rPr>
                <w:rFonts w:ascii="仿宋" w:hAnsi="仿宋" w:eastAsia="仿宋" w:cs="仿宋"/>
                <w:szCs w:val="21"/>
              </w:rPr>
              <w:t>姓名</w:t>
            </w:r>
            <w:r>
              <w:rPr>
                <w:rFonts w:hint="eastAsia" w:ascii="仿宋" w:hAnsi="仿宋" w:eastAsia="仿宋" w:cs="仿宋"/>
                <w:szCs w:val="21"/>
              </w:rPr>
              <w:t>、电子</w:t>
            </w:r>
            <w:r>
              <w:rPr>
                <w:rFonts w:ascii="仿宋" w:hAnsi="仿宋" w:eastAsia="仿宋" w:cs="仿宋"/>
                <w:szCs w:val="21"/>
              </w:rPr>
              <w:t>邮箱地址</w:t>
            </w:r>
            <w:r>
              <w:rPr>
                <w:rFonts w:hint="eastAsia" w:ascii="仿宋" w:hAnsi="仿宋" w:eastAsia="仿宋" w:cs="仿宋"/>
                <w:szCs w:val="21"/>
              </w:rPr>
              <w:t>、电话号码、个人身份信息、银行卡号、个人身份信息、地址信息等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法律法规规定不可公开的个人信息</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szCs w:val="21"/>
              </w:rPr>
              <w:t>学生的考试成绩、名次等学业信息（如成绩单）、未满</w:t>
            </w:r>
            <w:r>
              <w:rPr>
                <w:rFonts w:ascii="仿宋" w:hAnsi="仿宋" w:eastAsia="仿宋" w:cs="仿宋"/>
                <w:szCs w:val="21"/>
              </w:rPr>
              <w:t>14周岁（含）的未成年人个人信息等</w:t>
            </w:r>
            <w:r>
              <w:rPr>
                <w:rFonts w:hint="eastAsia" w:ascii="仿宋" w:hAnsi="仿宋" w:eastAsia="仿宋" w:cs="仿宋"/>
                <w:szCs w:val="21"/>
              </w:rPr>
              <w:t>，</w:t>
            </w:r>
            <w:r>
              <w:rPr>
                <w:rFonts w:ascii="仿宋" w:hAnsi="仿宋" w:eastAsia="仿宋" w:cs="仿宋"/>
                <w:szCs w:val="21"/>
              </w:rPr>
              <w:t>个人信息参考表A.1</w:t>
            </w:r>
            <w:r>
              <w:rPr>
                <w:rFonts w:hint="eastAsia" w:ascii="仿宋" w:hAnsi="仿宋" w:eastAsia="仿宋" w:cs="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restart"/>
            <w:vAlign w:val="center"/>
          </w:tcPr>
          <w:p>
            <w:pPr>
              <w:widowControl/>
              <w:spacing w:line="360" w:lineRule="auto"/>
              <w:jc w:val="center"/>
              <w:rPr>
                <w:rFonts w:ascii="仿宋" w:hAnsi="仿宋" w:eastAsia="仿宋" w:cs="仿宋"/>
                <w:szCs w:val="21"/>
              </w:rPr>
            </w:pPr>
            <w:r>
              <w:rPr>
                <w:rFonts w:ascii="仿宋" w:hAnsi="仿宋" w:eastAsia="仿宋" w:cs="仿宋"/>
                <w:szCs w:val="21"/>
              </w:rPr>
              <w:t>企业运营管理类</w:t>
            </w:r>
          </w:p>
        </w:tc>
        <w:tc>
          <w:tcPr>
            <w:tcW w:w="1134" w:type="dxa"/>
            <w:vMerge w:val="restart"/>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1</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由公司确定为外部可公开的信息</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szCs w:val="21"/>
              </w:rPr>
              <w:t>公司发布的年报、招聘信息、公司特别声明、官方网站公开的网页信息、新媒体报道、对外公开的交易信息、对外发布的融资信息、对外披露的财务信息等。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2级别经过模糊化</w:t>
            </w:r>
            <w:r>
              <w:rPr>
                <w:rFonts w:hint="eastAsia" w:ascii="仿宋" w:hAnsi="仿宋" w:eastAsia="仿宋" w:cs="仿宋"/>
                <w:szCs w:val="21"/>
              </w:rPr>
              <w:t>（如匿名、脱密、脱敏、去标识化等技术）</w:t>
            </w:r>
            <w:r>
              <w:rPr>
                <w:rFonts w:ascii="仿宋" w:hAnsi="仿宋" w:eastAsia="仿宋" w:cs="仿宋"/>
                <w:szCs w:val="21"/>
              </w:rPr>
              <w:t>处理后降级的数据</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szCs w:val="21"/>
              </w:rPr>
              <w:t>公司内部公开资料经模糊化处理后可公开的数据，如脱敏后的制度文档、记录表单等。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restart"/>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2</w:t>
            </w:r>
          </w:p>
        </w:tc>
        <w:tc>
          <w:tcPr>
            <w:tcW w:w="3544" w:type="dxa"/>
            <w:vAlign w:val="center"/>
          </w:tcPr>
          <w:p>
            <w:pPr>
              <w:pStyle w:val="36"/>
              <w:widowControl/>
              <w:spacing w:line="360" w:lineRule="auto"/>
              <w:ind w:firstLine="0" w:firstLineChars="0"/>
              <w:jc w:val="left"/>
              <w:rPr>
                <w:rFonts w:ascii="仿宋" w:hAnsi="仿宋" w:eastAsia="仿宋" w:cs="仿宋"/>
                <w:szCs w:val="21"/>
              </w:rPr>
            </w:pPr>
            <w:r>
              <w:rPr>
                <w:rFonts w:hint="eastAsia" w:ascii="仿宋" w:hAnsi="仿宋" w:eastAsia="仿宋" w:cs="仿宋"/>
                <w:szCs w:val="21"/>
              </w:rPr>
              <w:t>公司内部公开文档资料</w:t>
            </w:r>
          </w:p>
        </w:tc>
        <w:tc>
          <w:tcPr>
            <w:tcW w:w="4536" w:type="dxa"/>
          </w:tcPr>
          <w:p>
            <w:pPr>
              <w:widowControl/>
              <w:spacing w:line="360" w:lineRule="auto"/>
              <w:jc w:val="left"/>
              <w:rPr>
                <w:rFonts w:ascii="仿宋" w:hAnsi="仿宋" w:eastAsia="仿宋" w:cs="仿宋"/>
                <w:szCs w:val="21"/>
              </w:rPr>
            </w:pPr>
            <w:r>
              <w:rPr>
                <w:rFonts w:ascii="仿宋" w:hAnsi="仿宋" w:eastAsia="仿宋" w:cs="仿宋"/>
                <w:szCs w:val="21"/>
              </w:rPr>
              <w:t>制度规范</w:t>
            </w:r>
            <w:r>
              <w:rPr>
                <w:rFonts w:hint="eastAsia" w:ascii="仿宋" w:hAnsi="仿宋" w:eastAsia="仿宋" w:cs="仿宋"/>
                <w:szCs w:val="21"/>
              </w:rPr>
              <w:t>、</w:t>
            </w:r>
            <w:r>
              <w:rPr>
                <w:rFonts w:ascii="仿宋" w:hAnsi="仿宋" w:eastAsia="仿宋" w:cs="仿宋"/>
                <w:szCs w:val="21"/>
              </w:rPr>
              <w:t>操作流程</w:t>
            </w:r>
            <w:r>
              <w:rPr>
                <w:rFonts w:hint="eastAsia" w:ascii="仿宋" w:hAnsi="仿宋" w:eastAsia="仿宋" w:cs="仿宋"/>
                <w:szCs w:val="21"/>
              </w:rPr>
              <w:t>、记录表单模板、</w:t>
            </w:r>
            <w:r>
              <w:rPr>
                <w:rFonts w:ascii="仿宋" w:hAnsi="仿宋" w:eastAsia="仿宋" w:cs="仿宋"/>
                <w:szCs w:val="21"/>
              </w:rPr>
              <w:t>培训计划</w:t>
            </w:r>
            <w:r>
              <w:rPr>
                <w:rFonts w:hint="eastAsia" w:ascii="仿宋" w:hAnsi="仿宋" w:eastAsia="仿宋" w:cs="仿宋"/>
                <w:szCs w:val="21"/>
              </w:rPr>
              <w:t>、</w:t>
            </w:r>
            <w:r>
              <w:rPr>
                <w:rFonts w:ascii="仿宋" w:hAnsi="仿宋" w:eastAsia="仿宋" w:cs="仿宋"/>
                <w:szCs w:val="21"/>
              </w:rPr>
              <w:t>员工行为规范</w:t>
            </w:r>
            <w:r>
              <w:rPr>
                <w:rFonts w:hint="eastAsia" w:ascii="仿宋" w:hAnsi="仿宋" w:eastAsia="仿宋" w:cs="仿宋"/>
                <w:szCs w:val="21"/>
              </w:rPr>
              <w:t>、</w:t>
            </w:r>
            <w:r>
              <w:rPr>
                <w:rFonts w:ascii="仿宋" w:hAnsi="仿宋" w:eastAsia="仿宋" w:cs="仿宋"/>
                <w:szCs w:val="21"/>
              </w:rPr>
              <w:t>培训资料</w:t>
            </w:r>
            <w:r>
              <w:rPr>
                <w:rFonts w:hint="eastAsia" w:ascii="仿宋" w:hAnsi="仿宋" w:eastAsia="仿宋" w:cs="仿宋"/>
                <w:szCs w:val="21"/>
              </w:rPr>
              <w:t>、</w:t>
            </w:r>
            <w:r>
              <w:rPr>
                <w:rFonts w:ascii="仿宋" w:hAnsi="仿宋" w:eastAsia="仿宋" w:cs="仿宋"/>
                <w:szCs w:val="21"/>
              </w:rPr>
              <w:t>内部公开的统计报表</w:t>
            </w:r>
            <w:r>
              <w:rPr>
                <w:rFonts w:hint="eastAsia" w:ascii="仿宋" w:hAnsi="仿宋" w:eastAsia="仿宋" w:cs="仿宋"/>
                <w:szCs w:val="21"/>
              </w:rPr>
              <w:t>（仅反应部门业绩）</w:t>
            </w:r>
            <w:r>
              <w:rPr>
                <w:rFonts w:ascii="仿宋" w:hAnsi="仿宋" w:eastAsia="仿宋" w:cs="仿宋"/>
                <w:szCs w:val="21"/>
              </w:rPr>
              <w:t>等</w:t>
            </w:r>
            <w:r>
              <w:rPr>
                <w:rFonts w:hint="eastAsia" w:ascii="仿宋" w:hAnsi="仿宋" w:eastAsia="仿宋" w:cs="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pStyle w:val="36"/>
              <w:widowControl/>
              <w:spacing w:line="360" w:lineRule="auto"/>
              <w:ind w:firstLine="0" w:firstLineChars="0"/>
              <w:jc w:val="left"/>
              <w:rPr>
                <w:rFonts w:ascii="仿宋" w:hAnsi="仿宋" w:eastAsia="仿宋" w:cs="仿宋"/>
                <w:szCs w:val="21"/>
              </w:rPr>
            </w:pPr>
            <w:r>
              <w:rPr>
                <w:rFonts w:ascii="仿宋" w:hAnsi="仿宋" w:eastAsia="仿宋" w:cs="仿宋"/>
                <w:szCs w:val="21"/>
              </w:rPr>
              <w:t>公司内部定期发布的公开</w:t>
            </w:r>
            <w:r>
              <w:rPr>
                <w:rFonts w:hint="eastAsia" w:ascii="仿宋" w:hAnsi="仿宋" w:eastAsia="仿宋" w:cs="仿宋"/>
                <w:szCs w:val="21"/>
              </w:rPr>
              <w:t>信息</w:t>
            </w:r>
          </w:p>
        </w:tc>
        <w:tc>
          <w:tcPr>
            <w:tcW w:w="4536" w:type="dxa"/>
          </w:tcPr>
          <w:p>
            <w:pPr>
              <w:widowControl/>
              <w:spacing w:line="360" w:lineRule="auto"/>
              <w:jc w:val="left"/>
              <w:rPr>
                <w:rFonts w:ascii="仿宋" w:hAnsi="仿宋" w:eastAsia="仿宋" w:cs="仿宋"/>
                <w:szCs w:val="21"/>
              </w:rPr>
            </w:pPr>
            <w:r>
              <w:rPr>
                <w:rFonts w:ascii="仿宋" w:hAnsi="仿宋" w:eastAsia="仿宋" w:cs="仿宋"/>
                <w:szCs w:val="21"/>
              </w:rPr>
              <w:t>内部公告</w:t>
            </w:r>
            <w:r>
              <w:rPr>
                <w:rFonts w:hint="eastAsia" w:ascii="仿宋" w:hAnsi="仿宋" w:eastAsia="仿宋" w:cs="仿宋"/>
                <w:szCs w:val="21"/>
              </w:rPr>
              <w:t>、</w:t>
            </w:r>
            <w:r>
              <w:rPr>
                <w:rFonts w:ascii="仿宋" w:hAnsi="仿宋" w:eastAsia="仿宋" w:cs="仿宋"/>
                <w:szCs w:val="21"/>
              </w:rPr>
              <w:t>内部通知</w:t>
            </w:r>
            <w:r>
              <w:rPr>
                <w:rFonts w:hint="eastAsia" w:ascii="仿宋" w:hAnsi="仿宋" w:eastAsia="仿宋" w:cs="仿宋"/>
                <w:szCs w:val="21"/>
              </w:rPr>
              <w:t>、</w:t>
            </w:r>
            <w:r>
              <w:rPr>
                <w:rFonts w:ascii="仿宋" w:hAnsi="仿宋" w:eastAsia="仿宋" w:cs="仿宋"/>
                <w:szCs w:val="21"/>
              </w:rPr>
              <w:t>内部产品福利信息</w:t>
            </w:r>
            <w:r>
              <w:rPr>
                <w:rFonts w:hint="eastAsia" w:ascii="仿宋" w:hAnsi="仿宋" w:eastAsia="仿宋" w:cs="仿宋"/>
                <w:szCs w:val="21"/>
              </w:rPr>
              <w:t>、</w:t>
            </w:r>
            <w:r>
              <w:rPr>
                <w:rFonts w:ascii="仿宋" w:hAnsi="仿宋" w:eastAsia="仿宋" w:cs="仿宋"/>
                <w:szCs w:val="21"/>
              </w:rPr>
              <w:t>公司福利政策等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pStyle w:val="36"/>
              <w:widowControl/>
              <w:spacing w:line="360" w:lineRule="auto"/>
              <w:ind w:firstLine="0" w:firstLineChars="0"/>
              <w:jc w:val="left"/>
              <w:rPr>
                <w:rFonts w:ascii="仿宋" w:hAnsi="仿宋" w:eastAsia="仿宋" w:cs="仿宋"/>
                <w:szCs w:val="21"/>
              </w:rPr>
            </w:pPr>
            <w:r>
              <w:rPr>
                <w:rFonts w:ascii="仿宋" w:hAnsi="仿宋" w:eastAsia="仿宋" w:cs="仿宋"/>
                <w:szCs w:val="21"/>
              </w:rPr>
              <w:t>不能唯一标识物体的信息</w:t>
            </w:r>
          </w:p>
        </w:tc>
        <w:tc>
          <w:tcPr>
            <w:tcW w:w="4536" w:type="dxa"/>
          </w:tcPr>
          <w:p>
            <w:pPr>
              <w:widowControl/>
              <w:spacing w:line="360" w:lineRule="auto"/>
              <w:jc w:val="left"/>
              <w:rPr>
                <w:rFonts w:ascii="仿宋" w:hAnsi="仿宋" w:eastAsia="仿宋" w:cs="仿宋"/>
                <w:szCs w:val="21"/>
              </w:rPr>
            </w:pPr>
            <w:r>
              <w:rPr>
                <w:rFonts w:ascii="仿宋" w:hAnsi="仿宋" w:eastAsia="仿宋" w:cs="仿宋"/>
                <w:szCs w:val="21"/>
              </w:rPr>
              <w:t>笔记本</w:t>
            </w:r>
            <w:r>
              <w:rPr>
                <w:rFonts w:hint="eastAsia" w:ascii="仿宋" w:hAnsi="仿宋" w:eastAsia="仿宋" w:cs="仿宋"/>
                <w:szCs w:val="21"/>
              </w:rPr>
              <w:t>/</w:t>
            </w:r>
            <w:r>
              <w:rPr>
                <w:rFonts w:ascii="仿宋" w:hAnsi="仿宋" w:eastAsia="仿宋" w:cs="仿宋"/>
                <w:szCs w:val="21"/>
              </w:rPr>
              <w:t xml:space="preserve"> 台式机类型</w:t>
            </w:r>
            <w:r>
              <w:rPr>
                <w:rFonts w:hint="eastAsia" w:ascii="仿宋" w:hAnsi="仿宋" w:eastAsia="仿宋" w:cs="仿宋"/>
                <w:szCs w:val="21"/>
              </w:rPr>
              <w:t>、</w:t>
            </w:r>
            <w:r>
              <w:rPr>
                <w:rFonts w:ascii="仿宋" w:hAnsi="仿宋" w:eastAsia="仿宋" w:cs="仿宋"/>
                <w:szCs w:val="21"/>
              </w:rPr>
              <w:t>型号</w:t>
            </w:r>
            <w:r>
              <w:rPr>
                <w:rFonts w:hint="eastAsia" w:ascii="仿宋" w:hAnsi="仿宋" w:eastAsia="仿宋" w:cs="仿宋"/>
                <w:szCs w:val="21"/>
              </w:rPr>
              <w:t>，浏览器类型等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pStyle w:val="36"/>
              <w:widowControl/>
              <w:spacing w:line="360" w:lineRule="auto"/>
              <w:ind w:firstLine="0" w:firstLineChars="0"/>
              <w:jc w:val="left"/>
              <w:rPr>
                <w:rFonts w:ascii="仿宋" w:hAnsi="仿宋" w:eastAsia="仿宋" w:cs="仿宋"/>
                <w:szCs w:val="21"/>
              </w:rPr>
            </w:pPr>
            <w:r>
              <w:rPr>
                <w:rFonts w:ascii="仿宋" w:hAnsi="仿宋" w:eastAsia="仿宋" w:cs="仿宋"/>
                <w:szCs w:val="21"/>
              </w:rPr>
              <w:t>C3</w:t>
            </w:r>
            <w:r>
              <w:rPr>
                <w:rFonts w:hint="eastAsia" w:ascii="仿宋" w:hAnsi="仿宋" w:eastAsia="仿宋" w:cs="仿宋"/>
                <w:szCs w:val="21"/>
              </w:rPr>
              <w:t>、</w:t>
            </w:r>
            <w:r>
              <w:rPr>
                <w:rFonts w:ascii="仿宋" w:hAnsi="仿宋" w:eastAsia="仿宋" w:cs="仿宋"/>
                <w:szCs w:val="21"/>
              </w:rPr>
              <w:t>C4</w:t>
            </w:r>
            <w:r>
              <w:rPr>
                <w:rFonts w:hint="eastAsia" w:ascii="仿宋" w:hAnsi="仿宋" w:eastAsia="仿宋" w:cs="仿宋"/>
                <w:szCs w:val="21"/>
              </w:rPr>
              <w:t>级别经过模糊化处理（包含匿名、脱敏、脱敏）后降级至</w:t>
            </w:r>
            <w:r>
              <w:rPr>
                <w:rFonts w:ascii="仿宋" w:hAnsi="仿宋" w:eastAsia="仿宋" w:cs="仿宋"/>
                <w:szCs w:val="21"/>
              </w:rPr>
              <w:t>C2级别的数据。</w:t>
            </w:r>
          </w:p>
        </w:tc>
        <w:tc>
          <w:tcPr>
            <w:tcW w:w="4536" w:type="dxa"/>
          </w:tcPr>
          <w:p>
            <w:pPr>
              <w:widowControl/>
              <w:spacing w:line="360" w:lineRule="auto"/>
              <w:jc w:val="left"/>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restart"/>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3</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具有唯一标识的物体信息</w:t>
            </w:r>
          </w:p>
        </w:tc>
        <w:tc>
          <w:tcPr>
            <w:tcW w:w="4536" w:type="dxa"/>
          </w:tcPr>
          <w:p>
            <w:pPr>
              <w:widowControl/>
              <w:spacing w:line="360" w:lineRule="auto"/>
              <w:jc w:val="left"/>
              <w:rPr>
                <w:rFonts w:ascii="仿宋" w:hAnsi="仿宋" w:eastAsia="仿宋" w:cs="仿宋"/>
                <w:szCs w:val="21"/>
              </w:rPr>
            </w:pPr>
            <w:r>
              <w:rPr>
                <w:rFonts w:ascii="仿宋" w:hAnsi="仿宋" w:eastAsia="仿宋" w:cs="仿宋"/>
                <w:szCs w:val="21"/>
              </w:rPr>
              <w:t>设备识别码</w:t>
            </w:r>
            <w:r>
              <w:rPr>
                <w:rFonts w:hint="eastAsia" w:ascii="仿宋" w:hAnsi="仿宋" w:eastAsia="仿宋" w:cs="仿宋"/>
                <w:szCs w:val="21"/>
              </w:rPr>
              <w:t>、</w:t>
            </w:r>
            <w:r>
              <w:rPr>
                <w:rFonts w:ascii="仿宋" w:hAnsi="仿宋" w:eastAsia="仿宋" w:cs="仿宋"/>
                <w:szCs w:val="21"/>
              </w:rPr>
              <w:t>SN号</w:t>
            </w:r>
            <w:r>
              <w:rPr>
                <w:rFonts w:hint="eastAsia" w:ascii="仿宋" w:hAnsi="仿宋" w:eastAsia="仿宋" w:cs="仿宋"/>
                <w:szCs w:val="21"/>
              </w:rPr>
              <w:t>等、设备标签等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公司部门内部或项目级别</w:t>
            </w:r>
            <w:r>
              <w:rPr>
                <w:rFonts w:hint="eastAsia" w:ascii="仿宋" w:hAnsi="仿宋" w:eastAsia="仿宋" w:cs="仿宋"/>
                <w:szCs w:val="21"/>
              </w:rPr>
              <w:t>的</w:t>
            </w:r>
            <w:r>
              <w:rPr>
                <w:rFonts w:ascii="仿宋" w:hAnsi="仿宋" w:eastAsia="仿宋" w:cs="仿宋"/>
                <w:szCs w:val="21"/>
              </w:rPr>
              <w:t>非核心数据</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color w:val="000000"/>
                <w:kern w:val="0"/>
                <w:szCs w:val="21"/>
              </w:rPr>
              <w:t>部门内非核心的代码或算法，</w:t>
            </w:r>
            <w:r>
              <w:rPr>
                <w:rFonts w:hint="eastAsia" w:ascii="仿宋" w:hAnsi="仿宋" w:eastAsia="仿宋" w:cs="仿宋"/>
                <w:color w:val="000000"/>
                <w:kern w:val="0"/>
                <w:szCs w:val="21"/>
                <w:lang w:eastAsia="zh-Hans"/>
              </w:rPr>
              <w:t>加解密密钥，</w:t>
            </w:r>
            <w:r>
              <w:rPr>
                <w:rFonts w:hint="eastAsia" w:ascii="仿宋" w:hAnsi="仿宋" w:eastAsia="仿宋" w:cs="仿宋"/>
                <w:color w:val="000000"/>
                <w:kern w:val="0"/>
                <w:szCs w:val="21"/>
              </w:rPr>
              <w:t>所有业务级、应用级、平台级、</w:t>
            </w:r>
            <w:r>
              <w:rPr>
                <w:rFonts w:ascii="仿宋" w:hAnsi="仿宋" w:eastAsia="仿宋" w:cs="仿宋"/>
                <w:color w:val="000000"/>
                <w:kern w:val="0"/>
                <w:szCs w:val="21"/>
              </w:rPr>
              <w:t>IT设备等的参数配置，业务数据及后台运营数据，商务数据等</w:t>
            </w:r>
            <w:r>
              <w:rPr>
                <w:rFonts w:hint="eastAsia" w:ascii="仿宋" w:hAnsi="仿宋" w:eastAsia="仿宋" w:cs="仿宋"/>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C4级别数据</w:t>
            </w:r>
            <w:r>
              <w:rPr>
                <w:rFonts w:hint="eastAsia" w:ascii="仿宋" w:hAnsi="仿宋" w:eastAsia="仿宋" w:cs="仿宋"/>
                <w:szCs w:val="21"/>
              </w:rPr>
              <w:t>过模糊化处理（包含匿名、脱敏、脱敏）后降级至</w:t>
            </w:r>
            <w:r>
              <w:rPr>
                <w:rFonts w:ascii="仿宋" w:hAnsi="仿宋" w:eastAsia="仿宋" w:cs="仿宋"/>
                <w:szCs w:val="21"/>
              </w:rPr>
              <w:t>C3</w:t>
            </w:r>
            <w:r>
              <w:rPr>
                <w:rFonts w:hint="eastAsia" w:ascii="仿宋" w:hAnsi="仿宋" w:eastAsia="仿宋" w:cs="仿宋"/>
                <w:szCs w:val="21"/>
              </w:rPr>
              <w:t>级别的数据。</w:t>
            </w:r>
          </w:p>
        </w:tc>
        <w:tc>
          <w:tcPr>
            <w:tcW w:w="4536" w:type="dxa"/>
          </w:tcPr>
          <w:p>
            <w:pPr>
              <w:widowControl/>
              <w:spacing w:line="360" w:lineRule="auto"/>
              <w:jc w:val="left"/>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restart"/>
            <w:vAlign w:val="center"/>
          </w:tcPr>
          <w:p>
            <w:pPr>
              <w:widowControl/>
              <w:spacing w:line="360" w:lineRule="auto"/>
              <w:jc w:val="center"/>
              <w:rPr>
                <w:rFonts w:ascii="仿宋" w:hAnsi="仿宋" w:eastAsia="仿宋" w:cs="仿宋"/>
                <w:szCs w:val="21"/>
              </w:rPr>
            </w:pPr>
            <w:r>
              <w:rPr>
                <w:rFonts w:ascii="仿宋" w:hAnsi="仿宋" w:eastAsia="仿宋" w:cs="仿宋"/>
                <w:szCs w:val="21"/>
              </w:rPr>
              <w:t>C4</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公司财务数据</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公司盈余或盈余预测、财务状况和资产价值的变动、资本投资计划或该计划的变动、重大的借款或融资活动、债务拖欠、发行新的股票或债务，财务数据，包括会计方法和冲销的变动等。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企业核心管理数据</w:t>
            </w:r>
          </w:p>
        </w:tc>
        <w:tc>
          <w:tcPr>
            <w:tcW w:w="4536" w:type="dxa"/>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如有关并购或变卖重要子公司或资产的谈判、新签订的重大合同或重大合同意向书、新推出的重大产品或服务、重大的市场计划或该计划的变动、有关公司高管层或董事会成员的重大诉讼、行政处罚行为、政府调查或质询，重大人员变动，以及任何能够极大影响公司盈余或发展前景的行业环境或竞争态势的人员、业务统计报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知识核心产权数据</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核心产品相关项目文档（需求</w:t>
            </w:r>
            <w:r>
              <w:rPr>
                <w:rFonts w:ascii="仿宋" w:hAnsi="仿宋" w:eastAsia="仿宋" w:cs="仿宋"/>
                <w:color w:val="000000"/>
                <w:kern w:val="0"/>
                <w:sz w:val="20"/>
                <w:szCs w:val="20"/>
              </w:rPr>
              <w:t>/设计/开发/实施文档、流程图等）、代码、算法、</w:t>
            </w:r>
            <w:r>
              <w:rPr>
                <w:rFonts w:hint="eastAsia" w:ascii="仿宋" w:hAnsi="仿宋" w:eastAsia="仿宋" w:cs="仿宋"/>
                <w:color w:val="000000"/>
                <w:kern w:val="0"/>
                <w:sz w:val="20"/>
                <w:szCs w:val="20"/>
                <w:lang w:eastAsia="zh-Hans"/>
              </w:rPr>
              <w:t>加解密密钥</w:t>
            </w:r>
            <w:r>
              <w:rPr>
                <w:rFonts w:hint="eastAsia" w:ascii="仿宋" w:hAnsi="仿宋" w:eastAsia="仿宋" w:cs="仿宋"/>
                <w:color w:val="000000"/>
                <w:kern w:val="0"/>
                <w:sz w:val="20"/>
                <w:szCs w:val="20"/>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网络运维认证鉴权数据</w:t>
            </w:r>
          </w:p>
        </w:tc>
        <w:tc>
          <w:tcPr>
            <w:tcW w:w="4536" w:type="dxa"/>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设备登录、平台、数据库管理类账户密码、数字证书、密钥等。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restart"/>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员工类</w:t>
            </w:r>
          </w:p>
        </w:tc>
        <w:tc>
          <w:tcPr>
            <w:tcW w:w="1134" w:type="dxa"/>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1</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不适用</w:t>
            </w:r>
          </w:p>
        </w:tc>
        <w:tc>
          <w:tcPr>
            <w:tcW w:w="4536" w:type="dxa"/>
          </w:tcPr>
          <w:p>
            <w:pPr>
              <w:widowControl/>
              <w:spacing w:line="360" w:lineRule="auto"/>
              <w:jc w:val="left"/>
              <w:rPr>
                <w:rFonts w:ascii="仿宋" w:hAnsi="仿宋" w:eastAsia="仿宋" w:cs="仿宋"/>
                <w:szCs w:val="21"/>
              </w:rPr>
            </w:pPr>
            <w:r>
              <w:rPr>
                <w:rFonts w:ascii="仿宋" w:hAnsi="仿宋" w:eastAsia="仿宋" w:cs="仿宋"/>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restart"/>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2</w:t>
            </w:r>
          </w:p>
        </w:tc>
        <w:tc>
          <w:tcPr>
            <w:tcW w:w="3544" w:type="dxa"/>
            <w:vAlign w:val="center"/>
          </w:tcPr>
          <w:p>
            <w:pPr>
              <w:widowControl/>
              <w:spacing w:line="360" w:lineRule="auto"/>
              <w:jc w:val="left"/>
              <w:rPr>
                <w:rFonts w:ascii="仿宋" w:hAnsi="仿宋" w:eastAsia="仿宋" w:cs="仿宋"/>
                <w:color w:val="000000"/>
                <w:kern w:val="0"/>
                <w:sz w:val="20"/>
                <w:szCs w:val="20"/>
              </w:rPr>
            </w:pPr>
            <w:r>
              <w:rPr>
                <w:rFonts w:ascii="仿宋" w:hAnsi="仿宋" w:eastAsia="仿宋" w:cs="仿宋"/>
                <w:szCs w:val="21"/>
              </w:rPr>
              <w:t>除个人敏感信息外的个人信息</w:t>
            </w:r>
          </w:p>
        </w:tc>
        <w:tc>
          <w:tcPr>
            <w:tcW w:w="4536" w:type="dxa"/>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性别、主管/所属部门、入职时间等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color w:val="000000"/>
                <w:kern w:val="0"/>
                <w:sz w:val="20"/>
                <w:szCs w:val="20"/>
              </w:rPr>
            </w:pPr>
            <w:r>
              <w:rPr>
                <w:rFonts w:ascii="仿宋" w:hAnsi="仿宋" w:eastAsia="仿宋" w:cs="仿宋"/>
                <w:szCs w:val="21"/>
              </w:rPr>
              <w:t>员工公司内部发布的言论和信息</w:t>
            </w:r>
          </w:p>
        </w:tc>
        <w:tc>
          <w:tcPr>
            <w:tcW w:w="4536" w:type="dxa"/>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企业微信的聊天记录、内部网站的评论信息等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restart"/>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3</w:t>
            </w:r>
          </w:p>
        </w:tc>
        <w:tc>
          <w:tcPr>
            <w:tcW w:w="3544" w:type="dxa"/>
            <w:vAlign w:val="center"/>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职务信息</w:t>
            </w:r>
          </w:p>
        </w:tc>
        <w:tc>
          <w:tcPr>
            <w:tcW w:w="4536" w:type="dxa"/>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转正时间、职位名称等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除具有唯一标识符外的个人敏感信息</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出生日期、好友列表、工作经历、婚姻状况、薪资调整历史数据等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color w:val="000000"/>
                <w:kern w:val="0"/>
                <w:sz w:val="20"/>
                <w:szCs w:val="20"/>
              </w:rPr>
            </w:pPr>
            <w:r>
              <w:rPr>
                <w:rFonts w:ascii="仿宋" w:hAnsi="仿宋" w:eastAsia="仿宋" w:cs="仿宋"/>
                <w:color w:val="000000"/>
                <w:kern w:val="0"/>
                <w:sz w:val="20"/>
                <w:szCs w:val="20"/>
              </w:rPr>
              <w:t>员工电脑信息</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个人网页浏览记录、群组列表等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restart"/>
            <w:vAlign w:val="center"/>
          </w:tcPr>
          <w:p>
            <w:pPr>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4</w:t>
            </w:r>
          </w:p>
        </w:tc>
        <w:tc>
          <w:tcPr>
            <w:tcW w:w="3544" w:type="dxa"/>
            <w:vAlign w:val="center"/>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员工真实身份标识</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个人身份信息，见表B</w:t>
            </w:r>
            <w:r>
              <w:rPr>
                <w:rFonts w:ascii="仿宋" w:hAnsi="仿宋" w:eastAsia="仿宋" w:cs="仿宋"/>
                <w:color w:val="000000"/>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个人财务</w:t>
            </w:r>
            <w:r>
              <w:rPr>
                <w:rFonts w:ascii="仿宋" w:hAnsi="仿宋" w:eastAsia="仿宋" w:cs="仿宋"/>
                <w:color w:val="000000"/>
                <w:kern w:val="0"/>
                <w:sz w:val="20"/>
                <w:szCs w:val="20"/>
              </w:rPr>
              <w:t>信息</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银行账号、信用卡账号、收支流水记录、薪资信息等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Merge w:val="continue"/>
            <w:vAlign w:val="center"/>
          </w:tcPr>
          <w:p>
            <w:pPr>
              <w:widowControl/>
              <w:spacing w:line="360" w:lineRule="auto"/>
              <w:jc w:val="center"/>
              <w:rPr>
                <w:rFonts w:ascii="仿宋" w:hAnsi="仿宋" w:eastAsia="仿宋" w:cs="仿宋"/>
                <w:szCs w:val="21"/>
              </w:rPr>
            </w:pPr>
          </w:p>
        </w:tc>
        <w:tc>
          <w:tcPr>
            <w:tcW w:w="3544" w:type="dxa"/>
            <w:vAlign w:val="center"/>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员工高敏感数据</w:t>
            </w:r>
          </w:p>
        </w:tc>
        <w:tc>
          <w:tcPr>
            <w:tcW w:w="4536" w:type="dxa"/>
          </w:tcPr>
          <w:p>
            <w:pPr>
              <w:widowControl/>
              <w:spacing w:line="360" w:lineRule="auto"/>
              <w:jc w:val="left"/>
              <w:rPr>
                <w:rFonts w:ascii="仿宋" w:hAnsi="仿宋" w:eastAsia="仿宋" w:cs="仿宋"/>
                <w:szCs w:val="21"/>
              </w:rPr>
            </w:pPr>
            <w:r>
              <w:rPr>
                <w:rFonts w:hint="eastAsia" w:ascii="仿宋" w:hAnsi="仿宋" w:eastAsia="仿宋" w:cs="仿宋"/>
                <w:color w:val="000000"/>
                <w:kern w:val="0"/>
                <w:sz w:val="20"/>
                <w:szCs w:val="20"/>
              </w:rPr>
              <w:t>K</w:t>
            </w:r>
            <w:r>
              <w:rPr>
                <w:rFonts w:ascii="仿宋" w:hAnsi="仿宋" w:eastAsia="仿宋" w:cs="仿宋"/>
                <w:color w:val="000000"/>
                <w:kern w:val="0"/>
                <w:sz w:val="20"/>
                <w:szCs w:val="20"/>
              </w:rPr>
              <w:t>PI</w:t>
            </w:r>
            <w:r>
              <w:rPr>
                <w:rFonts w:hint="eastAsia" w:ascii="仿宋" w:hAnsi="仿宋" w:eastAsia="仿宋" w:cs="仿宋"/>
                <w:color w:val="000000"/>
                <w:kern w:val="0"/>
                <w:sz w:val="20"/>
                <w:szCs w:val="20"/>
              </w:rPr>
              <w:t>绩效信息、任职级别、家庭详细住址等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restart"/>
            <w:vAlign w:val="center"/>
          </w:tcPr>
          <w:p>
            <w:pPr>
              <w:widowControl/>
              <w:spacing w:line="360" w:lineRule="auto"/>
              <w:jc w:val="center"/>
              <w:rPr>
                <w:rFonts w:ascii="仿宋" w:hAnsi="仿宋" w:eastAsia="仿宋" w:cs="仿宋"/>
                <w:szCs w:val="21"/>
              </w:rPr>
            </w:pPr>
            <w:r>
              <w:rPr>
                <w:rFonts w:ascii="仿宋" w:hAnsi="仿宋" w:eastAsia="仿宋" w:cs="仿宋"/>
                <w:szCs w:val="21"/>
              </w:rPr>
              <w:t>合作伙伴类</w:t>
            </w:r>
          </w:p>
        </w:tc>
        <w:tc>
          <w:tcPr>
            <w:tcW w:w="1134" w:type="dxa"/>
            <w:vAlign w:val="center"/>
          </w:tcPr>
          <w:p>
            <w:pPr>
              <w:widowControl/>
              <w:spacing w:line="360" w:lineRule="auto"/>
              <w:jc w:val="center"/>
              <w:rPr>
                <w:rFonts w:ascii="仿宋" w:hAnsi="仿宋" w:eastAsia="仿宋" w:cs="仿宋"/>
                <w:szCs w:val="21"/>
              </w:rPr>
            </w:pPr>
            <w:r>
              <w:rPr>
                <w:rFonts w:ascii="仿宋" w:hAnsi="仿宋" w:eastAsia="仿宋" w:cs="仿宋"/>
                <w:szCs w:val="21"/>
              </w:rPr>
              <w:t>C1</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不适用</w:t>
            </w:r>
          </w:p>
        </w:tc>
        <w:tc>
          <w:tcPr>
            <w:tcW w:w="4536" w:type="dxa"/>
          </w:tcPr>
          <w:p>
            <w:pPr>
              <w:widowControl/>
              <w:spacing w:line="360" w:lineRule="auto"/>
              <w:jc w:val="left"/>
              <w:rPr>
                <w:rFonts w:ascii="仿宋" w:hAnsi="仿宋" w:eastAsia="仿宋" w:cs="仿宋"/>
                <w:szCs w:val="21"/>
              </w:rPr>
            </w:pPr>
            <w:r>
              <w:rPr>
                <w:rFonts w:ascii="仿宋" w:hAnsi="仿宋" w:eastAsia="仿宋" w:cs="仿宋"/>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Align w:val="center"/>
          </w:tcPr>
          <w:p>
            <w:pPr>
              <w:widowControl/>
              <w:spacing w:line="360" w:lineRule="auto"/>
              <w:jc w:val="center"/>
              <w:rPr>
                <w:rFonts w:ascii="仿宋" w:hAnsi="仿宋" w:eastAsia="仿宋" w:cs="仿宋"/>
                <w:szCs w:val="21"/>
              </w:rPr>
            </w:pPr>
            <w:r>
              <w:rPr>
                <w:rFonts w:ascii="仿宋" w:hAnsi="仿宋" w:eastAsia="仿宋" w:cs="仿宋"/>
                <w:szCs w:val="21"/>
              </w:rPr>
              <w:t>C2</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不适用</w:t>
            </w:r>
          </w:p>
        </w:tc>
        <w:tc>
          <w:tcPr>
            <w:tcW w:w="4536" w:type="dxa"/>
          </w:tcPr>
          <w:p>
            <w:pPr>
              <w:widowControl/>
              <w:spacing w:line="360" w:lineRule="auto"/>
              <w:jc w:val="left"/>
              <w:rPr>
                <w:rFonts w:ascii="仿宋" w:hAnsi="仿宋" w:eastAsia="仿宋" w:cs="仿宋"/>
                <w:color w:val="000000"/>
                <w:kern w:val="0"/>
                <w:sz w:val="20"/>
                <w:szCs w:val="20"/>
              </w:rPr>
            </w:pPr>
            <w:r>
              <w:rPr>
                <w:rFonts w:ascii="仿宋" w:hAnsi="仿宋" w:eastAsia="仿宋" w:cs="仿宋"/>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3</w:t>
            </w:r>
          </w:p>
        </w:tc>
        <w:tc>
          <w:tcPr>
            <w:tcW w:w="3544" w:type="dxa"/>
            <w:vAlign w:val="center"/>
          </w:tcPr>
          <w:p>
            <w:pPr>
              <w:widowControl/>
              <w:spacing w:line="360" w:lineRule="auto"/>
              <w:jc w:val="left"/>
              <w:rPr>
                <w:rFonts w:ascii="仿宋" w:hAnsi="仿宋" w:eastAsia="仿宋" w:cs="仿宋"/>
                <w:szCs w:val="21"/>
              </w:rPr>
            </w:pPr>
            <w:r>
              <w:rPr>
                <w:rFonts w:ascii="仿宋" w:hAnsi="仿宋" w:eastAsia="仿宋" w:cs="仿宋"/>
                <w:szCs w:val="21"/>
              </w:rPr>
              <w:t>不适用</w:t>
            </w:r>
          </w:p>
        </w:tc>
        <w:tc>
          <w:tcPr>
            <w:tcW w:w="4536" w:type="dxa"/>
          </w:tcPr>
          <w:p>
            <w:pPr>
              <w:widowControl/>
              <w:spacing w:line="360" w:lineRule="auto"/>
              <w:jc w:val="left"/>
              <w:rPr>
                <w:rFonts w:ascii="仿宋" w:hAnsi="仿宋" w:eastAsia="仿宋" w:cs="仿宋"/>
                <w:color w:val="000000"/>
                <w:kern w:val="0"/>
                <w:sz w:val="20"/>
                <w:szCs w:val="20"/>
              </w:rPr>
            </w:pPr>
            <w:r>
              <w:rPr>
                <w:rFonts w:ascii="仿宋" w:hAnsi="仿宋" w:eastAsia="仿宋" w:cs="仿宋"/>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blHeader/>
          <w:jc w:val="center"/>
        </w:trPr>
        <w:tc>
          <w:tcPr>
            <w:tcW w:w="1242" w:type="dxa"/>
            <w:vMerge w:val="continue"/>
            <w:vAlign w:val="center"/>
          </w:tcPr>
          <w:p>
            <w:pPr>
              <w:widowControl/>
              <w:spacing w:line="360" w:lineRule="auto"/>
              <w:jc w:val="center"/>
              <w:rPr>
                <w:rFonts w:ascii="仿宋" w:hAnsi="仿宋" w:eastAsia="仿宋" w:cs="仿宋"/>
                <w:szCs w:val="21"/>
              </w:rPr>
            </w:pPr>
          </w:p>
        </w:tc>
        <w:tc>
          <w:tcPr>
            <w:tcW w:w="1134" w:type="dxa"/>
            <w:vAlign w:val="center"/>
          </w:tcPr>
          <w:p>
            <w:pPr>
              <w:widowControl/>
              <w:spacing w:line="360" w:lineRule="auto"/>
              <w:jc w:val="center"/>
              <w:rPr>
                <w:rFonts w:ascii="仿宋" w:hAnsi="仿宋" w:eastAsia="仿宋" w:cs="仿宋"/>
                <w:szCs w:val="21"/>
              </w:rPr>
            </w:pPr>
            <w:r>
              <w:rPr>
                <w:rFonts w:hint="eastAsia" w:ascii="仿宋" w:hAnsi="仿宋" w:eastAsia="仿宋" w:cs="仿宋"/>
                <w:szCs w:val="21"/>
              </w:rPr>
              <w:t>C</w:t>
            </w:r>
            <w:r>
              <w:rPr>
                <w:rFonts w:ascii="仿宋" w:hAnsi="仿宋" w:eastAsia="仿宋" w:cs="仿宋"/>
                <w:szCs w:val="21"/>
              </w:rPr>
              <w:t>4</w:t>
            </w:r>
          </w:p>
        </w:tc>
        <w:tc>
          <w:tcPr>
            <w:tcW w:w="3544" w:type="dxa"/>
            <w:vAlign w:val="center"/>
          </w:tcPr>
          <w:p>
            <w:pPr>
              <w:widowControl/>
              <w:spacing w:line="360" w:lineRule="auto"/>
              <w:jc w:val="left"/>
              <w:rPr>
                <w:rFonts w:ascii="仿宋" w:hAnsi="仿宋" w:eastAsia="仿宋" w:cs="仿宋"/>
                <w:color w:val="000000"/>
                <w:kern w:val="0"/>
                <w:sz w:val="20"/>
                <w:szCs w:val="20"/>
              </w:rPr>
            </w:pPr>
            <w:r>
              <w:rPr>
                <w:rFonts w:ascii="仿宋" w:hAnsi="仿宋" w:eastAsia="仿宋" w:cs="仿宋"/>
                <w:color w:val="000000"/>
                <w:kern w:val="0"/>
                <w:sz w:val="20"/>
                <w:szCs w:val="20"/>
              </w:rPr>
              <w:t>企业合作伙伴业务信息</w:t>
            </w:r>
          </w:p>
        </w:tc>
        <w:tc>
          <w:tcPr>
            <w:tcW w:w="4536" w:type="dxa"/>
          </w:tcPr>
          <w:p>
            <w:pPr>
              <w:widowControl/>
              <w:spacing w:line="360" w:lineRule="auto"/>
              <w:jc w:val="left"/>
              <w:rPr>
                <w:rFonts w:ascii="仿宋" w:hAnsi="仿宋" w:eastAsia="仿宋" w:cs="仿宋"/>
                <w:color w:val="000000"/>
                <w:kern w:val="0"/>
                <w:sz w:val="20"/>
                <w:szCs w:val="20"/>
              </w:rPr>
            </w:pPr>
            <w:r>
              <w:rPr>
                <w:rFonts w:ascii="仿宋" w:hAnsi="仿宋" w:eastAsia="仿宋" w:cs="仿宋"/>
                <w:color w:val="000000"/>
                <w:kern w:val="0"/>
                <w:sz w:val="20"/>
                <w:szCs w:val="20"/>
              </w:rPr>
              <w:t>知识产权</w:t>
            </w:r>
            <w:r>
              <w:rPr>
                <w:rFonts w:hint="eastAsia" w:ascii="仿宋" w:hAnsi="仿宋" w:eastAsia="仿宋" w:cs="仿宋"/>
                <w:color w:val="000000"/>
                <w:kern w:val="0"/>
                <w:sz w:val="20"/>
                <w:szCs w:val="20"/>
              </w:rPr>
              <w:t>、</w:t>
            </w:r>
            <w:r>
              <w:rPr>
                <w:rFonts w:ascii="仿宋" w:hAnsi="仿宋" w:eastAsia="仿宋" w:cs="仿宋"/>
                <w:color w:val="000000"/>
                <w:kern w:val="0"/>
                <w:sz w:val="20"/>
                <w:szCs w:val="20"/>
              </w:rPr>
              <w:t>商业信息</w:t>
            </w:r>
            <w:r>
              <w:rPr>
                <w:rFonts w:hint="eastAsia" w:ascii="仿宋" w:hAnsi="仿宋" w:eastAsia="仿宋" w:cs="仿宋"/>
                <w:color w:val="000000"/>
                <w:kern w:val="0"/>
                <w:sz w:val="20"/>
                <w:szCs w:val="20"/>
              </w:rPr>
              <w:t>、</w:t>
            </w:r>
            <w:r>
              <w:rPr>
                <w:rFonts w:ascii="仿宋" w:hAnsi="仿宋" w:eastAsia="仿宋" w:cs="仿宋"/>
                <w:color w:val="000000"/>
                <w:kern w:val="0"/>
                <w:sz w:val="20"/>
                <w:szCs w:val="20"/>
              </w:rPr>
              <w:t>敏感信息</w:t>
            </w:r>
            <w:r>
              <w:rPr>
                <w:rFonts w:hint="eastAsia" w:ascii="仿宋" w:hAnsi="仿宋" w:eastAsia="仿宋" w:cs="仿宋"/>
                <w:color w:val="000000"/>
                <w:kern w:val="0"/>
                <w:sz w:val="20"/>
                <w:szCs w:val="20"/>
              </w:rPr>
              <w:t>、学校</w:t>
            </w:r>
            <w:r>
              <w:rPr>
                <w:rFonts w:ascii="仿宋" w:hAnsi="仿宋" w:eastAsia="仿宋" w:cs="仿宋"/>
                <w:color w:val="000000"/>
                <w:kern w:val="0"/>
                <w:sz w:val="20"/>
                <w:szCs w:val="20"/>
              </w:rPr>
              <w:t>不允许公开的信息</w:t>
            </w:r>
          </w:p>
        </w:tc>
      </w:tr>
    </w:tbl>
    <w:p>
      <w:pPr>
        <w:pStyle w:val="7"/>
        <w:jc w:val="center"/>
        <w:rPr>
          <w:rFonts w:ascii="仿宋" w:hAnsi="仿宋" w:eastAsia="仿宋" w:cs="仿宋"/>
          <w:sz w:val="21"/>
          <w:szCs w:val="21"/>
        </w:rPr>
      </w:pPr>
      <w:r>
        <w:rPr>
          <w:rFonts w:hint="eastAsia" w:ascii="仿宋" w:hAnsi="仿宋" w:eastAsia="仿宋" w:cs="仿宋"/>
          <w:sz w:val="21"/>
          <w:szCs w:val="21"/>
        </w:rPr>
        <w:t>表</w:t>
      </w:r>
      <w:r>
        <w:rPr>
          <w:rFonts w:ascii="仿宋" w:hAnsi="仿宋" w:eastAsia="仿宋" w:cs="仿宋"/>
          <w:sz w:val="21"/>
          <w:szCs w:val="21"/>
        </w:rPr>
        <w:t xml:space="preserve"> </w:t>
      </w:r>
      <w:r>
        <w:rPr>
          <w:rFonts w:ascii="仿宋" w:hAnsi="仿宋" w:eastAsia="仿宋" w:cs="仿宋"/>
          <w:sz w:val="21"/>
          <w:szCs w:val="21"/>
        </w:rPr>
        <w:fldChar w:fldCharType="begin"/>
      </w:r>
      <w:r>
        <w:rPr>
          <w:rFonts w:hint="eastAsia" w:ascii="仿宋" w:hAnsi="仿宋" w:eastAsia="仿宋" w:cs="仿宋"/>
          <w:sz w:val="21"/>
          <w:szCs w:val="21"/>
        </w:rPr>
        <w:instrText xml:space="preserve"> SEQ 表 \* ARABIC </w:instrText>
      </w:r>
      <w:r>
        <w:rPr>
          <w:rFonts w:ascii="仿宋" w:hAnsi="仿宋" w:eastAsia="仿宋" w:cs="仿宋"/>
          <w:sz w:val="21"/>
          <w:szCs w:val="21"/>
        </w:rPr>
        <w:fldChar w:fldCharType="separate"/>
      </w:r>
      <w:r>
        <w:rPr>
          <w:rFonts w:ascii="仿宋" w:hAnsi="仿宋" w:eastAsia="仿宋" w:cs="仿宋"/>
          <w:sz w:val="21"/>
          <w:szCs w:val="21"/>
        </w:rPr>
        <w:t>3</w:t>
      </w:r>
      <w:r>
        <w:rPr>
          <w:rFonts w:ascii="仿宋" w:hAnsi="仿宋" w:eastAsia="仿宋" w:cs="仿宋"/>
          <w:sz w:val="21"/>
          <w:szCs w:val="21"/>
        </w:rPr>
        <w:fldChar w:fldCharType="end"/>
      </w:r>
      <w:r>
        <w:rPr>
          <w:rFonts w:hint="eastAsia" w:ascii="仿宋" w:hAnsi="仿宋" w:eastAsia="仿宋" w:cs="仿宋"/>
          <w:sz w:val="21"/>
          <w:szCs w:val="21"/>
        </w:rPr>
        <w:t xml:space="preserve"> 数据分类分级标准模板</w:t>
      </w:r>
    </w:p>
    <w:p>
      <w:pPr>
        <w:jc w:val="center"/>
        <w:rPr>
          <w:rFonts w:ascii="仿宋" w:hAnsi="仿宋" w:eastAsia="仿宋" w:cs="仿宋"/>
        </w:rPr>
        <w:sectPr>
          <w:pgSz w:w="11906" w:h="16838"/>
          <w:pgMar w:top="720" w:right="720" w:bottom="720" w:left="720" w:header="851" w:footer="992" w:gutter="0"/>
          <w:cols w:space="425" w:num="1"/>
          <w:docGrid w:type="lines" w:linePitch="312" w:charSpace="0"/>
        </w:sectPr>
      </w:pPr>
    </w:p>
    <w:p>
      <w:pPr>
        <w:jc w:val="center"/>
        <w:rPr>
          <w:rFonts w:ascii="仿宋" w:hAnsi="仿宋" w:eastAsia="仿宋" w:cs="仿宋"/>
        </w:rPr>
      </w:pPr>
    </w:p>
    <w:p>
      <w:pPr>
        <w:pStyle w:val="28"/>
        <w:ind w:left="0"/>
        <w:jc w:val="center"/>
        <w:rPr>
          <w:rFonts w:ascii="仿宋" w:hAnsi="仿宋" w:cs="仿宋"/>
          <w:sz w:val="24"/>
        </w:rPr>
      </w:pPr>
      <w:r>
        <w:rPr>
          <w:rFonts w:hint="eastAsia" w:ascii="仿宋" w:hAnsi="仿宋" w:cs="仿宋"/>
          <w:sz w:val="24"/>
        </w:rPr>
        <w:t>数据级别推导原则</w:t>
      </w:r>
    </w:p>
    <w:p>
      <w:pPr>
        <w:numPr>
          <w:ilvl w:val="2"/>
          <w:numId w:val="35"/>
        </w:numPr>
        <w:spacing w:line="360" w:lineRule="auto"/>
        <w:ind w:left="0" w:firstLine="0"/>
        <w:rPr>
          <w:rFonts w:ascii="仿宋" w:hAnsi="仿宋" w:eastAsia="仿宋" w:cs="仿宋"/>
          <w:sz w:val="24"/>
        </w:rPr>
      </w:pPr>
      <w:r>
        <w:rPr>
          <w:rFonts w:hint="eastAsia" w:ascii="仿宋" w:hAnsi="仿宋" w:eastAsia="仿宋" w:cs="仿宋"/>
          <w:sz w:val="24"/>
        </w:rPr>
        <w:t xml:space="preserve"> 数据升级原则 </w:t>
      </w:r>
    </w:p>
    <w:p>
      <w:pPr>
        <w:pStyle w:val="36"/>
        <w:numPr>
          <w:ilvl w:val="0"/>
          <w:numId w:val="3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两个及以上的数据项组成的数据集，能够形成更重要的新敏感数据，或更高级别的用户隐私数据，甚至形成一个具有唯一标识性的新数据，本数据安全级别应不低于各数据项最高者。如学生姓名（C2）、学生身份证号（C4），组成的数据集的数据安全级别为C4级。</w:t>
      </w:r>
      <w:r>
        <w:rPr>
          <w:rFonts w:ascii="仿宋" w:hAnsi="仿宋" w:eastAsia="仿宋" w:cs="仿宋"/>
          <w:color w:val="000000"/>
          <w:kern w:val="0"/>
          <w:sz w:val="24"/>
          <w:lang w:bidi="ar"/>
        </w:rPr>
        <w:t xml:space="preserve"> </w:t>
      </w:r>
    </w:p>
    <w:p>
      <w:pPr>
        <w:pStyle w:val="36"/>
        <w:numPr>
          <w:ilvl w:val="0"/>
          <w:numId w:val="3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通过统计、分析或加工某数据项（组）的多条记录，形成的某项指标（如地域分布、年龄分布、间接或直接用户画像）的数据级别不低于该数据项（组）的级别。 </w:t>
      </w:r>
    </w:p>
    <w:p>
      <w:pPr>
        <w:numPr>
          <w:ilvl w:val="2"/>
          <w:numId w:val="35"/>
        </w:numPr>
        <w:spacing w:line="360" w:lineRule="auto"/>
        <w:ind w:left="0" w:firstLine="0"/>
        <w:rPr>
          <w:rFonts w:ascii="仿宋" w:hAnsi="仿宋" w:eastAsia="仿宋" w:cs="仿宋"/>
          <w:sz w:val="24"/>
        </w:rPr>
      </w:pPr>
      <w:r>
        <w:rPr>
          <w:rFonts w:hint="eastAsia" w:ascii="仿宋" w:hAnsi="仿宋" w:eastAsia="仿宋" w:cs="仿宋"/>
          <w:sz w:val="24"/>
        </w:rPr>
        <w:t xml:space="preserve"> 数据降级原则</w:t>
      </w:r>
    </w:p>
    <w:p>
      <w:pPr>
        <w:pStyle w:val="36"/>
        <w:numPr>
          <w:ilvl w:val="0"/>
          <w:numId w:val="3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为了充分利用数据资源，公司允许数据以直接或间接的方式进行降级处理，可通过数据脱敏、去标识化、匿名化等技术实现数据降级。</w:t>
      </w:r>
    </w:p>
    <w:p>
      <w:pPr>
        <w:pStyle w:val="36"/>
        <w:numPr>
          <w:ilvl w:val="0"/>
          <w:numId w:val="37"/>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数据降级后的数据定级应严格按照数据分类分级标准进行判定</w:t>
      </w:r>
      <w:r>
        <w:rPr>
          <w:rFonts w:hint="eastAsia" w:ascii="仿宋" w:hAnsi="仿宋" w:eastAsia="仿宋" w:cs="仿宋"/>
          <w:color w:val="000000"/>
          <w:kern w:val="0"/>
          <w:sz w:val="24"/>
          <w:lang w:bidi="ar"/>
        </w:rPr>
        <w:t>。</w:t>
      </w:r>
    </w:p>
    <w:p>
      <w:pPr>
        <w:widowControl/>
        <w:spacing w:line="360" w:lineRule="auto"/>
        <w:ind w:firstLine="480" w:firstLineChars="200"/>
        <w:jc w:val="left"/>
        <w:rPr>
          <w:rFonts w:ascii="仿宋" w:hAnsi="仿宋" w:eastAsia="仿宋" w:cs="仿宋"/>
          <w:color w:val="000000"/>
          <w:kern w:val="0"/>
          <w:sz w:val="24"/>
          <w:lang w:bidi="ar"/>
        </w:rPr>
        <w:sectPr>
          <w:pgSz w:w="11906" w:h="16838"/>
          <w:pgMar w:top="720" w:right="720" w:bottom="720" w:left="720" w:header="851" w:footer="992" w:gutter="0"/>
          <w:cols w:space="425" w:num="1"/>
          <w:docGrid w:type="lines" w:linePitch="312" w:charSpace="0"/>
        </w:sectPr>
      </w:pPr>
    </w:p>
    <w:p>
      <w:pPr>
        <w:widowControl/>
        <w:spacing w:line="360" w:lineRule="auto"/>
        <w:ind w:firstLine="480" w:firstLineChars="200"/>
        <w:jc w:val="left"/>
        <w:rPr>
          <w:rFonts w:ascii="仿宋" w:hAnsi="仿宋" w:eastAsia="仿宋" w:cs="仿宋"/>
          <w:color w:val="000000"/>
          <w:kern w:val="0"/>
          <w:sz w:val="24"/>
          <w:lang w:bidi="ar"/>
        </w:rPr>
      </w:pPr>
    </w:p>
    <w:bookmarkEnd w:id="0"/>
    <w:bookmarkEnd w:id="1"/>
    <w:p>
      <w:pPr>
        <w:pStyle w:val="5"/>
        <w:numPr>
          <w:ilvl w:val="0"/>
          <w:numId w:val="3"/>
        </w:numPr>
        <w:spacing w:before="100" w:after="100"/>
        <w:jc w:val="center"/>
        <w:rPr>
          <w:rFonts w:hint="default" w:ascii="仿宋" w:hAnsi="仿宋" w:eastAsia="仿宋"/>
          <w:sz w:val="28"/>
          <w:szCs w:val="28"/>
        </w:rPr>
      </w:pPr>
      <w:r>
        <w:rPr>
          <w:rFonts w:ascii="仿宋" w:hAnsi="仿宋" w:eastAsia="仿宋"/>
          <w:sz w:val="28"/>
          <w:szCs w:val="28"/>
        </w:rPr>
        <w:t>数据安全管理要求</w:t>
      </w:r>
    </w:p>
    <w:p>
      <w:pPr>
        <w:pStyle w:val="28"/>
        <w:ind w:left="0"/>
        <w:rPr>
          <w:rFonts w:ascii="仿宋" w:hAnsi="仿宋" w:cs="仿宋"/>
          <w:sz w:val="24"/>
        </w:rPr>
      </w:pPr>
      <w:r>
        <w:rPr>
          <w:rFonts w:hint="eastAsia" w:ascii="仿宋" w:hAnsi="仿宋" w:cs="仿宋"/>
          <w:sz w:val="24"/>
        </w:rPr>
        <w:t>本制度在数据整个生存周期安全和通用安全两方面，分别提出相应安全要求，各业务线</w:t>
      </w:r>
      <w:r>
        <w:rPr>
          <w:rFonts w:ascii="仿宋" w:hAnsi="仿宋" w:cs="仿宋"/>
          <w:sz w:val="24"/>
        </w:rPr>
        <w:t>/</w:t>
      </w:r>
      <w:r>
        <w:rPr>
          <w:rFonts w:hint="eastAsia" w:ascii="仿宋" w:hAnsi="仿宋" w:cs="仿宋"/>
          <w:sz w:val="24"/>
        </w:rPr>
        <w:t>平台</w:t>
      </w:r>
      <w:r>
        <w:rPr>
          <w:rFonts w:ascii="仿宋" w:hAnsi="仿宋" w:cs="仿宋"/>
          <w:sz w:val="24"/>
        </w:rPr>
        <w:t>/</w:t>
      </w:r>
      <w:r>
        <w:rPr>
          <w:rFonts w:hint="eastAsia" w:ascii="仿宋" w:hAnsi="仿宋" w:cs="仿宋"/>
          <w:sz w:val="24"/>
        </w:rPr>
        <w:t>部门须根据此要求执行数据安全工作，同时可根据本业务线</w:t>
      </w:r>
      <w:r>
        <w:rPr>
          <w:rFonts w:ascii="仿宋" w:hAnsi="仿宋" w:cs="仿宋"/>
          <w:sz w:val="24"/>
        </w:rPr>
        <w:t>/</w:t>
      </w:r>
      <w:r>
        <w:rPr>
          <w:rFonts w:hint="eastAsia" w:ascii="仿宋" w:hAnsi="仿宋" w:cs="仿宋"/>
          <w:sz w:val="24"/>
        </w:rPr>
        <w:t>平台</w:t>
      </w:r>
      <w:r>
        <w:rPr>
          <w:rFonts w:ascii="仿宋" w:hAnsi="仿宋" w:cs="仿宋"/>
          <w:sz w:val="24"/>
        </w:rPr>
        <w:t>/</w:t>
      </w:r>
      <w:r>
        <w:rPr>
          <w:rFonts w:hint="eastAsia" w:ascii="仿宋" w:hAnsi="仿宋" w:cs="仿宋"/>
          <w:sz w:val="24"/>
        </w:rPr>
        <w:t>部门的特殊业务场景，在不违反以下原则的情况下进行安全要求的细化，并报安全部备案。</w:t>
      </w:r>
      <w:r>
        <w:rPr>
          <w:rFonts w:ascii="仿宋" w:hAnsi="仿宋" w:cs="仿宋"/>
          <w:sz w:val="24"/>
        </w:rPr>
        <w:t xml:space="preserve"> </w:t>
      </w:r>
    </w:p>
    <w:p>
      <w:pPr>
        <w:pStyle w:val="28"/>
        <w:ind w:left="0"/>
        <w:rPr>
          <w:rFonts w:ascii="仿宋" w:hAnsi="仿宋" w:cs="仿宋"/>
          <w:sz w:val="24"/>
        </w:rPr>
      </w:pPr>
      <w:r>
        <w:rPr>
          <w:rFonts w:ascii="仿宋" w:hAnsi="仿宋" w:cs="仿宋"/>
          <w:sz w:val="24"/>
        </w:rPr>
        <w:t xml:space="preserve"> </w:t>
      </w:r>
      <w:r>
        <w:rPr>
          <w:rFonts w:hint="eastAsia" w:ascii="仿宋" w:hAnsi="仿宋" w:cs="仿宋"/>
          <w:sz w:val="24"/>
        </w:rPr>
        <w:t>数据生存周期主要分为数据采集、数据传输、数据存储、数据处理、数据交换、数据销毁六大阶段，详细如下：</w:t>
      </w:r>
    </w:p>
    <w:p>
      <w:pPr>
        <w:pStyle w:val="36"/>
        <w:numPr>
          <w:ilvl w:val="0"/>
          <w:numId w:val="3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数据采集</w:t>
      </w:r>
      <w:r>
        <w:rPr>
          <w:rFonts w:hint="eastAsia" w:ascii="仿宋" w:hAnsi="仿宋" w:eastAsia="仿宋" w:cs="仿宋"/>
          <w:color w:val="000000"/>
          <w:kern w:val="0"/>
          <w:sz w:val="24"/>
          <w:lang w:bidi="ar"/>
        </w:rPr>
        <w:t>：组织内部系统中新产生数据，以及从外部系统收集数据的阶段。</w:t>
      </w:r>
    </w:p>
    <w:p>
      <w:pPr>
        <w:pStyle w:val="36"/>
        <w:numPr>
          <w:ilvl w:val="0"/>
          <w:numId w:val="3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数据传输</w:t>
      </w:r>
      <w:r>
        <w:rPr>
          <w:rFonts w:hint="eastAsia" w:ascii="仿宋" w:hAnsi="仿宋" w:eastAsia="仿宋" w:cs="仿宋"/>
          <w:color w:val="000000"/>
          <w:kern w:val="0"/>
          <w:sz w:val="24"/>
          <w:lang w:bidi="ar"/>
        </w:rPr>
        <w:t>：数据从一个实体传输到另一个实体的阶段。</w:t>
      </w:r>
    </w:p>
    <w:p>
      <w:pPr>
        <w:pStyle w:val="36"/>
        <w:numPr>
          <w:ilvl w:val="0"/>
          <w:numId w:val="3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数据存储</w:t>
      </w:r>
      <w:r>
        <w:rPr>
          <w:rFonts w:hint="eastAsia" w:ascii="仿宋" w:hAnsi="仿宋" w:eastAsia="仿宋" w:cs="仿宋"/>
          <w:color w:val="000000"/>
          <w:kern w:val="0"/>
          <w:sz w:val="24"/>
          <w:lang w:bidi="ar"/>
        </w:rPr>
        <w:t>：数据以任何数字格式进行存储的阶段。</w:t>
      </w:r>
    </w:p>
    <w:p>
      <w:pPr>
        <w:pStyle w:val="36"/>
        <w:numPr>
          <w:ilvl w:val="0"/>
          <w:numId w:val="3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数据处理</w:t>
      </w:r>
      <w:r>
        <w:rPr>
          <w:rFonts w:hint="eastAsia" w:ascii="仿宋" w:hAnsi="仿宋" w:eastAsia="仿宋" w:cs="仿宋"/>
          <w:color w:val="000000"/>
          <w:kern w:val="0"/>
          <w:sz w:val="24"/>
          <w:lang w:bidi="ar"/>
        </w:rPr>
        <w:t>：组织在内部对数据进行计算、分析、可视化等操作的阶段。</w:t>
      </w:r>
    </w:p>
    <w:p>
      <w:pPr>
        <w:pStyle w:val="36"/>
        <w:numPr>
          <w:ilvl w:val="0"/>
          <w:numId w:val="3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数据交换</w:t>
      </w:r>
      <w:r>
        <w:rPr>
          <w:rFonts w:hint="eastAsia" w:ascii="仿宋" w:hAnsi="仿宋" w:eastAsia="仿宋" w:cs="仿宋"/>
          <w:color w:val="000000"/>
          <w:kern w:val="0"/>
          <w:sz w:val="24"/>
          <w:lang w:bidi="ar"/>
        </w:rPr>
        <w:t>：组织与组织或个人进行数据交换的阶段。</w:t>
      </w:r>
    </w:p>
    <w:p>
      <w:pPr>
        <w:pStyle w:val="36"/>
        <w:numPr>
          <w:ilvl w:val="0"/>
          <w:numId w:val="3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数据销毁</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对数据及数据存储媒体通过相应的操作手段</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使数据彻底删除且无法通过任何手段恢复的过程</w:t>
      </w:r>
      <w:r>
        <w:rPr>
          <w:rFonts w:hint="eastAsia" w:ascii="仿宋" w:hAnsi="仿宋" w:eastAsia="仿宋" w:cs="仿宋"/>
          <w:color w:val="000000"/>
          <w:kern w:val="0"/>
          <w:sz w:val="24"/>
          <w:lang w:bidi="ar"/>
        </w:rPr>
        <w:t>。</w:t>
      </w:r>
    </w:p>
    <w:p>
      <w:pPr>
        <w:pStyle w:val="28"/>
        <w:ind w:left="0"/>
        <w:rPr>
          <w:rFonts w:ascii="仿宋" w:hAnsi="仿宋" w:cs="仿宋"/>
          <w:sz w:val="24"/>
        </w:rPr>
      </w:pPr>
      <w:r>
        <w:rPr>
          <w:rFonts w:hint="eastAsia" w:ascii="仿宋" w:hAnsi="仿宋" w:cs="仿宋"/>
          <w:sz w:val="24"/>
        </w:rPr>
        <w:t>数据生存周期安全主要分为数据采集安全、数据传输安全、数据存储安全、数据处理安全、数据交换安全、数据销毁安全。</w:t>
      </w:r>
    </w:p>
    <w:p>
      <w:pPr>
        <w:pStyle w:val="28"/>
        <w:ind w:left="0"/>
        <w:rPr>
          <w:rFonts w:ascii="仿宋" w:hAnsi="仿宋" w:cs="仿宋"/>
          <w:sz w:val="24"/>
        </w:rPr>
      </w:pPr>
      <w:r>
        <w:rPr>
          <w:rFonts w:hint="eastAsia" w:ascii="仿宋" w:hAnsi="仿宋" w:cs="仿宋"/>
          <w:sz w:val="24"/>
        </w:rPr>
        <w:t xml:space="preserve"> 数据采集安全主要包含数据分类分级、数据采集安全管理、数据源鉴别及记录等。</w:t>
      </w:r>
    </w:p>
    <w:p>
      <w:pPr>
        <w:numPr>
          <w:ilvl w:val="2"/>
          <w:numId w:val="39"/>
        </w:numPr>
        <w:spacing w:line="360" w:lineRule="auto"/>
        <w:ind w:left="851" w:hanging="425"/>
        <w:rPr>
          <w:rFonts w:ascii="仿宋" w:hAnsi="仿宋" w:eastAsia="仿宋" w:cs="仿宋"/>
          <w:sz w:val="24"/>
        </w:rPr>
      </w:pPr>
      <w:r>
        <w:rPr>
          <w:rFonts w:hint="eastAsia" w:ascii="仿宋" w:hAnsi="仿宋" w:eastAsia="仿宋" w:cs="仿宋"/>
          <w:sz w:val="24"/>
        </w:rPr>
        <w:t>数据采集过程中应遵循合法、正当、诚信、最小必要和最小化授权同意等原则。</w:t>
      </w:r>
    </w:p>
    <w:p>
      <w:pPr>
        <w:numPr>
          <w:ilvl w:val="2"/>
          <w:numId w:val="39"/>
        </w:numPr>
        <w:spacing w:line="360" w:lineRule="auto"/>
        <w:ind w:left="851" w:hanging="425"/>
        <w:rPr>
          <w:rFonts w:ascii="仿宋" w:hAnsi="仿宋" w:eastAsia="仿宋" w:cs="仿宋"/>
          <w:sz w:val="24"/>
        </w:rPr>
      </w:pPr>
      <w:r>
        <w:rPr>
          <w:rFonts w:hint="eastAsia" w:ascii="仿宋" w:hAnsi="仿宋" w:eastAsia="仿宋" w:cs="仿宋"/>
          <w:sz w:val="24"/>
        </w:rPr>
        <w:t>采集个人信息应当遵循公开、透明原则，公开个人处理规则，通过弹窗、文本链接及附件等简洁、明显且易于访问的方式，向用户明示、告知个人信息处理主体、处理的目的、方式、处理范围及保存期限等。（如隐私政策附件）</w:t>
      </w:r>
    </w:p>
    <w:p>
      <w:pPr>
        <w:numPr>
          <w:ilvl w:val="2"/>
          <w:numId w:val="39"/>
        </w:numPr>
        <w:spacing w:line="360" w:lineRule="auto"/>
        <w:ind w:left="851" w:hanging="425"/>
        <w:rPr>
          <w:rFonts w:ascii="仿宋" w:hAnsi="仿宋" w:eastAsia="仿宋" w:cs="仿宋"/>
          <w:sz w:val="24"/>
        </w:rPr>
      </w:pPr>
      <w:r>
        <w:rPr>
          <w:rFonts w:hint="eastAsia" w:ascii="仿宋" w:hAnsi="仿宋" w:eastAsia="仿宋" w:cs="仿宋"/>
          <w:sz w:val="24"/>
        </w:rPr>
        <w:t>收集个人信息应当限于实现处于目的的最小范围，不得过渡收集个人信息。</w:t>
      </w:r>
    </w:p>
    <w:p>
      <w:pPr>
        <w:numPr>
          <w:ilvl w:val="2"/>
          <w:numId w:val="39"/>
        </w:numPr>
        <w:spacing w:line="360" w:lineRule="auto"/>
        <w:ind w:left="851" w:hanging="425"/>
        <w:rPr>
          <w:rFonts w:ascii="仿宋" w:hAnsi="仿宋" w:eastAsia="仿宋" w:cs="仿宋"/>
          <w:sz w:val="24"/>
        </w:rPr>
      </w:pPr>
      <w:r>
        <w:rPr>
          <w:rFonts w:hint="eastAsia" w:ascii="仿宋" w:hAnsi="仿宋" w:eastAsia="仿宋" w:cs="仿宋"/>
          <w:sz w:val="24"/>
        </w:rPr>
        <w:t>数据采集活动包括数据获取和创建过程，采集内容包括但不限于：</w:t>
      </w:r>
    </w:p>
    <w:p>
      <w:pPr>
        <w:pStyle w:val="36"/>
        <w:numPr>
          <w:ilvl w:val="0"/>
          <w:numId w:val="4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系统运行过程中产生的业务数据。</w:t>
      </w:r>
    </w:p>
    <w:p>
      <w:pPr>
        <w:pStyle w:val="36"/>
        <w:numPr>
          <w:ilvl w:val="0"/>
          <w:numId w:val="4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以及各种系统、程序和服务运行过程产生的运维和日志数据。</w:t>
      </w:r>
    </w:p>
    <w:p>
      <w:pPr>
        <w:pStyle w:val="36"/>
        <w:numPr>
          <w:ilvl w:val="0"/>
          <w:numId w:val="4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产品</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服务程序主动收集的数据</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如</w:t>
      </w:r>
      <w:r>
        <w:rPr>
          <w:rFonts w:ascii="仿宋" w:hAnsi="仿宋" w:eastAsia="仿宋" w:cs="仿宋"/>
          <w:color w:val="000000"/>
          <w:kern w:val="0"/>
          <w:sz w:val="24"/>
          <w:lang w:bidi="ar"/>
        </w:rPr>
        <w:t>IMEI、GPS位置信息等。</w:t>
      </w:r>
    </w:p>
    <w:p>
      <w:pPr>
        <w:pStyle w:val="36"/>
        <w:numPr>
          <w:ilvl w:val="0"/>
          <w:numId w:val="4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产品</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服务过程中用户填写的数据</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如手机号</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收货地址等。</w:t>
      </w:r>
    </w:p>
    <w:p>
      <w:pPr>
        <w:numPr>
          <w:ilvl w:val="2"/>
          <w:numId w:val="39"/>
        </w:numPr>
        <w:spacing w:line="360" w:lineRule="auto"/>
        <w:ind w:left="851" w:hanging="425"/>
        <w:rPr>
          <w:rFonts w:ascii="仿宋" w:hAnsi="仿宋" w:eastAsia="仿宋" w:cs="仿宋"/>
          <w:sz w:val="24"/>
        </w:rPr>
      </w:pPr>
      <w:r>
        <w:rPr>
          <w:rFonts w:hint="eastAsia" w:ascii="仿宋" w:hAnsi="仿宋" w:eastAsia="仿宋" w:cs="仿宋"/>
          <w:sz w:val="24"/>
        </w:rPr>
        <w:t>数据采集安全要求，主要如下：</w:t>
      </w:r>
    </w:p>
    <w:p>
      <w:pPr>
        <w:pStyle w:val="36"/>
        <w:numPr>
          <w:ilvl w:val="0"/>
          <w:numId w:val="4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根据数据分类分级的定义，对采集数据的敏感级别进行识别，对不同敏感级别的数据实施相应的安全管理策略和保障措施。</w:t>
      </w:r>
      <w:r>
        <w:rPr>
          <w:rFonts w:ascii="仿宋" w:hAnsi="仿宋" w:eastAsia="仿宋" w:cs="仿宋"/>
          <w:color w:val="000000"/>
          <w:kern w:val="0"/>
          <w:sz w:val="24"/>
          <w:lang w:bidi="ar"/>
        </w:rPr>
        <w:t xml:space="preserve"> </w:t>
      </w:r>
    </w:p>
    <w:p>
      <w:pPr>
        <w:pStyle w:val="36"/>
        <w:numPr>
          <w:ilvl w:val="0"/>
          <w:numId w:val="4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对外提供服务的应用系统向用户采集个人信息时，应明确、合理定义并公开数据采集的原则、目的、方式、用途，明确数据采集源和采集范围，只采集满足业务所需的最小数据集</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通过隐私政策的形式</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声明并取得被采集人的明示同意。</w:t>
      </w:r>
    </w:p>
    <w:p>
      <w:pPr>
        <w:pStyle w:val="36"/>
        <w:numPr>
          <w:ilvl w:val="0"/>
          <w:numId w:val="4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定期评估和检查产品和服务是否满足个人信息保护等法律法规</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产品和服务在需求设计阶段需要主动进行个人信息</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个人隐私采集的安全评估</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并将评估结果作为业务能否上线的准入要求</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公司审批通过后方能收集</w:t>
      </w:r>
      <w:r>
        <w:rPr>
          <w:rFonts w:ascii="仿宋" w:hAnsi="仿宋" w:eastAsia="仿宋" w:cs="仿宋"/>
          <w:color w:val="000000"/>
          <w:kern w:val="0"/>
          <w:sz w:val="24"/>
          <w:lang w:bidi="ar"/>
        </w:rPr>
        <w:t>。</w:t>
      </w:r>
    </w:p>
    <w:p>
      <w:pPr>
        <w:pStyle w:val="36"/>
        <w:numPr>
          <w:ilvl w:val="0"/>
          <w:numId w:val="41"/>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不得非法收集他人个人信息</w:t>
      </w:r>
      <w:r>
        <w:rPr>
          <w:rFonts w:hint="eastAsia" w:ascii="仿宋" w:hAnsi="仿宋" w:eastAsia="仿宋" w:cs="仿宋"/>
          <w:color w:val="000000"/>
          <w:kern w:val="0"/>
          <w:sz w:val="24"/>
          <w:lang w:bidi="ar"/>
        </w:rPr>
        <w:t>。对于未满十四周岁未成年人的个人信息，应当取得未成年人的父母或者其他监护人的同意后，才可以进行收集。</w:t>
      </w:r>
    </w:p>
    <w:p>
      <w:pPr>
        <w:widowControl/>
        <w:spacing w:line="360" w:lineRule="auto"/>
        <w:rPr>
          <w:rFonts w:ascii="仿宋" w:hAnsi="仿宋" w:eastAsia="仿宋" w:cs="仿宋"/>
          <w:b/>
          <w:bCs/>
          <w:color w:val="000000"/>
          <w:kern w:val="0"/>
          <w:sz w:val="24"/>
          <w:lang w:bidi="ar"/>
        </w:rPr>
      </w:pPr>
    </w:p>
    <w:p>
      <w:pPr>
        <w:pStyle w:val="28"/>
        <w:widowControl/>
        <w:spacing w:line="360" w:lineRule="auto"/>
        <w:ind w:left="0" w:firstLine="480" w:firstLineChars="200"/>
        <w:rPr>
          <w:rFonts w:ascii="仿宋" w:hAnsi="仿宋" w:cs="仿宋"/>
          <w:color w:val="000000"/>
          <w:kern w:val="0"/>
          <w:sz w:val="24"/>
          <w:lang w:bidi="ar"/>
        </w:rPr>
      </w:pPr>
      <w:r>
        <w:rPr>
          <w:rFonts w:hint="eastAsia" w:ascii="仿宋" w:hAnsi="仿宋" w:cs="仿宋"/>
          <w:sz w:val="24"/>
        </w:rPr>
        <w:t xml:space="preserve"> 数据存储安全</w:t>
      </w:r>
      <w:r>
        <w:rPr>
          <w:rFonts w:hint="eastAsia" w:ascii="仿宋" w:hAnsi="仿宋" w:cs="仿宋"/>
          <w:color w:val="000000"/>
          <w:kern w:val="0"/>
          <w:sz w:val="24"/>
          <w:lang w:bidi="ar"/>
        </w:rPr>
        <w:t>包括线上存储安全和线下存储安全。</w:t>
      </w:r>
      <w:r>
        <w:rPr>
          <w:rFonts w:ascii="仿宋" w:hAnsi="仿宋" w:cs="仿宋"/>
          <w:color w:val="000000"/>
          <w:kern w:val="0"/>
          <w:sz w:val="24"/>
          <w:lang w:bidi="ar"/>
        </w:rPr>
        <w:t xml:space="preserve"> </w:t>
      </w:r>
    </w:p>
    <w:p>
      <w:pPr>
        <w:numPr>
          <w:ilvl w:val="2"/>
          <w:numId w:val="42"/>
        </w:numPr>
        <w:spacing w:line="360" w:lineRule="auto"/>
        <w:ind w:left="1276" w:hanging="850"/>
        <w:rPr>
          <w:rFonts w:ascii="仿宋" w:hAnsi="仿宋" w:eastAsia="仿宋" w:cs="仿宋"/>
          <w:sz w:val="24"/>
        </w:rPr>
      </w:pPr>
      <w:r>
        <w:rPr>
          <w:rFonts w:hint="eastAsia" w:ascii="仿宋" w:hAnsi="仿宋" w:eastAsia="仿宋" w:cs="仿宋"/>
          <w:sz w:val="24"/>
        </w:rPr>
        <w:t xml:space="preserve">数据线上存储安全要求 </w:t>
      </w:r>
    </w:p>
    <w:p>
      <w:pPr>
        <w:pStyle w:val="36"/>
        <w:numPr>
          <w:ilvl w:val="0"/>
          <w:numId w:val="4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为确保数据的可用性，需制定数据备份及恢复测试策略，并按要求定期执行。</w:t>
      </w:r>
      <w:r>
        <w:rPr>
          <w:rFonts w:ascii="仿宋" w:hAnsi="仿宋" w:eastAsia="仿宋" w:cs="仿宋"/>
          <w:color w:val="000000"/>
          <w:kern w:val="0"/>
          <w:sz w:val="24"/>
          <w:lang w:bidi="ar"/>
        </w:rPr>
        <w:t xml:space="preserve"> </w:t>
      </w:r>
    </w:p>
    <w:p>
      <w:pPr>
        <w:pStyle w:val="36"/>
        <w:numPr>
          <w:ilvl w:val="0"/>
          <w:numId w:val="4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存放在服务器或共享存储空间中，应当严格控制访问权限，必须获得相应的数据授权后才可以访问。</w:t>
      </w:r>
    </w:p>
    <w:p>
      <w:pPr>
        <w:pStyle w:val="36"/>
        <w:numPr>
          <w:ilvl w:val="0"/>
          <w:numId w:val="4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应对存储数据进行分类分级，对敏感数据进行加密处理。</w:t>
      </w:r>
      <w:r>
        <w:rPr>
          <w:rFonts w:ascii="仿宋" w:hAnsi="仿宋" w:eastAsia="仿宋" w:cs="仿宋"/>
          <w:color w:val="000000"/>
          <w:kern w:val="0"/>
          <w:sz w:val="24"/>
          <w:lang w:bidi="ar"/>
        </w:rPr>
        <w:t xml:space="preserve"> </w:t>
      </w:r>
    </w:p>
    <w:p>
      <w:pPr>
        <w:pStyle w:val="36"/>
        <w:numPr>
          <w:ilvl w:val="0"/>
          <w:numId w:val="4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对于不需要还原密文的场景，必须采用随机带盐值的</w:t>
      </w:r>
      <w:r>
        <w:rPr>
          <w:rFonts w:ascii="仿宋" w:hAnsi="仿宋" w:eastAsia="仿宋" w:cs="仿宋"/>
          <w:color w:val="000000"/>
          <w:kern w:val="0"/>
          <w:sz w:val="24"/>
          <w:lang w:bidi="ar"/>
        </w:rPr>
        <w:t xml:space="preserve"> HASH </w:t>
      </w:r>
      <w:r>
        <w:rPr>
          <w:rFonts w:hint="eastAsia" w:ascii="仿宋" w:hAnsi="仿宋" w:eastAsia="仿宋" w:cs="仿宋"/>
          <w:color w:val="000000"/>
          <w:kern w:val="0"/>
          <w:sz w:val="24"/>
          <w:lang w:bidi="ar"/>
        </w:rPr>
        <w:t>算法进行存储。其中，散列函数推荐使用</w:t>
      </w:r>
      <w:r>
        <w:rPr>
          <w:rFonts w:ascii="仿宋" w:hAnsi="仿宋" w:eastAsia="仿宋" w:cs="仿宋"/>
          <w:color w:val="000000"/>
          <w:kern w:val="0"/>
          <w:sz w:val="24"/>
          <w:lang w:bidi="ar"/>
        </w:rPr>
        <w:t xml:space="preserve"> SHA1+</w:t>
      </w:r>
      <w:r>
        <w:rPr>
          <w:rFonts w:hint="eastAsia" w:ascii="仿宋" w:hAnsi="仿宋" w:eastAsia="仿宋" w:cs="仿宋"/>
          <w:color w:val="000000"/>
          <w:kern w:val="0"/>
          <w:sz w:val="24"/>
          <w:lang w:bidi="ar"/>
        </w:rPr>
        <w:t>盐等哈希算法</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一用户一盐。</w:t>
      </w:r>
    </w:p>
    <w:p>
      <w:pPr>
        <w:pStyle w:val="36"/>
        <w:numPr>
          <w:ilvl w:val="0"/>
          <w:numId w:val="4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客户端场景下</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手机</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电脑上存储的个人信息</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敏感信息</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也应做加密存储</w:t>
      </w:r>
      <w:r>
        <w:rPr>
          <w:rFonts w:ascii="仿宋" w:hAnsi="仿宋" w:eastAsia="仿宋" w:cs="仿宋"/>
          <w:color w:val="000000"/>
          <w:kern w:val="0"/>
          <w:sz w:val="24"/>
          <w:lang w:bidi="ar"/>
        </w:rPr>
        <w:t>。</w:t>
      </w:r>
    </w:p>
    <w:p>
      <w:pPr>
        <w:pStyle w:val="36"/>
        <w:numPr>
          <w:ilvl w:val="0"/>
          <w:numId w:val="43"/>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个人信息存储期限应为实现个人信息主体授权使用的目的所必须的最短时间</w:t>
      </w:r>
      <w:r>
        <w:rPr>
          <w:rFonts w:hint="eastAsia" w:ascii="仿宋" w:hAnsi="仿宋" w:eastAsia="仿宋" w:cs="仿宋"/>
          <w:color w:val="000000"/>
          <w:kern w:val="0"/>
          <w:sz w:val="24"/>
          <w:lang w:bidi="ar"/>
        </w:rPr>
        <w:t>，法律法规另有规定或者个人信息主体另行授权同意的除外。</w:t>
      </w:r>
      <w:r>
        <w:rPr>
          <w:rFonts w:ascii="仿宋" w:hAnsi="仿宋" w:eastAsia="仿宋" w:cs="仿宋"/>
          <w:color w:val="000000"/>
          <w:kern w:val="0"/>
          <w:sz w:val="24"/>
          <w:lang w:bidi="ar"/>
        </w:rPr>
        <w:t>并且超出该场景的个人信息存储期限后</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应对个人信息进行删除或匿名化处理</w:t>
      </w:r>
      <w:r>
        <w:rPr>
          <w:rFonts w:hint="eastAsia" w:ascii="仿宋" w:hAnsi="仿宋" w:eastAsia="仿宋" w:cs="仿宋"/>
          <w:color w:val="000000"/>
          <w:kern w:val="0"/>
          <w:sz w:val="24"/>
          <w:lang w:bidi="ar"/>
        </w:rPr>
        <w:t>。</w:t>
      </w:r>
    </w:p>
    <w:p>
      <w:pPr>
        <w:pStyle w:val="36"/>
        <w:numPr>
          <w:ilvl w:val="0"/>
          <w:numId w:val="43"/>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收集个人信息后</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应立即进行去标识化处理</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并采取技术和管理方向的措施</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将可用于恢复识别个人的信息与去标识化后的信息分开存储</w:t>
      </w:r>
      <w:r>
        <w:rPr>
          <w:rFonts w:hint="eastAsia" w:ascii="仿宋" w:hAnsi="仿宋" w:eastAsia="仿宋" w:cs="仿宋"/>
          <w:color w:val="000000"/>
          <w:kern w:val="0"/>
          <w:sz w:val="24"/>
          <w:lang w:bidi="ar"/>
        </w:rPr>
        <w:t>并加强访问和使用的权限管理。</w:t>
      </w:r>
    </w:p>
    <w:p>
      <w:pPr>
        <w:pStyle w:val="36"/>
        <w:numPr>
          <w:ilvl w:val="0"/>
          <w:numId w:val="43"/>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针对个人敏感信息的存储</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确保个人生物识别信息应与个人身份信息分开存储</w:t>
      </w:r>
      <w:r>
        <w:rPr>
          <w:rFonts w:hint="eastAsia" w:ascii="仿宋" w:hAnsi="仿宋" w:eastAsia="仿宋" w:cs="仿宋"/>
          <w:color w:val="000000"/>
          <w:kern w:val="0"/>
          <w:sz w:val="24"/>
          <w:lang w:bidi="ar"/>
        </w:rPr>
        <w:t>。</w:t>
      </w:r>
    </w:p>
    <w:p>
      <w:pPr>
        <w:pStyle w:val="36"/>
        <w:numPr>
          <w:ilvl w:val="0"/>
          <w:numId w:val="43"/>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不应存储原始个人生物识别信息</w:t>
      </w:r>
      <w:r>
        <w:rPr>
          <w:rFonts w:hint="eastAsia" w:ascii="仿宋" w:hAnsi="仿宋" w:eastAsia="仿宋" w:cs="仿宋"/>
          <w:color w:val="000000"/>
          <w:kern w:val="0"/>
          <w:sz w:val="24"/>
          <w:lang w:bidi="ar"/>
        </w:rPr>
        <w:t>（如样本、图像等），可采取的措施包括但不限于：</w:t>
      </w:r>
    </w:p>
    <w:p>
      <w:pPr>
        <w:pStyle w:val="36"/>
        <w:numPr>
          <w:ilvl w:val="0"/>
          <w:numId w:val="44"/>
        </w:numPr>
        <w:spacing w:line="360" w:lineRule="auto"/>
        <w:ind w:left="851" w:firstLine="0" w:firstLineChars="0"/>
        <w:rPr>
          <w:rFonts w:ascii="仿宋" w:hAnsi="仿宋" w:eastAsia="仿宋" w:cs="仿宋"/>
          <w:color w:val="000000"/>
          <w:kern w:val="0"/>
          <w:sz w:val="24"/>
          <w:lang w:bidi="ar"/>
        </w:rPr>
      </w:pPr>
      <w:r>
        <w:rPr>
          <w:rFonts w:ascii="仿宋" w:hAnsi="仿宋" w:eastAsia="仿宋" w:cs="仿宋"/>
          <w:color w:val="000000"/>
          <w:kern w:val="0"/>
          <w:sz w:val="24"/>
          <w:lang w:bidi="ar"/>
        </w:rPr>
        <w:t>仅存储个人生物识别信息的摘要信息</w:t>
      </w:r>
      <w:r>
        <w:rPr>
          <w:rFonts w:hint="eastAsia" w:ascii="仿宋" w:hAnsi="仿宋" w:eastAsia="仿宋" w:cs="仿宋"/>
          <w:color w:val="000000"/>
          <w:kern w:val="0"/>
          <w:sz w:val="24"/>
          <w:lang w:bidi="ar"/>
        </w:rPr>
        <w:t>。</w:t>
      </w:r>
    </w:p>
    <w:p>
      <w:pPr>
        <w:pStyle w:val="36"/>
        <w:numPr>
          <w:ilvl w:val="0"/>
          <w:numId w:val="44"/>
        </w:numPr>
        <w:spacing w:line="360" w:lineRule="auto"/>
        <w:ind w:left="851" w:firstLine="0" w:firstLineChars="0"/>
        <w:rPr>
          <w:rFonts w:ascii="仿宋" w:hAnsi="仿宋" w:eastAsia="仿宋" w:cs="仿宋"/>
          <w:color w:val="000000"/>
          <w:kern w:val="0"/>
          <w:sz w:val="24"/>
          <w:lang w:bidi="ar"/>
        </w:rPr>
      </w:pPr>
      <w:r>
        <w:rPr>
          <w:rFonts w:ascii="仿宋" w:hAnsi="仿宋" w:eastAsia="仿宋" w:cs="仿宋"/>
          <w:color w:val="000000"/>
          <w:kern w:val="0"/>
          <w:sz w:val="24"/>
          <w:lang w:bidi="ar"/>
        </w:rPr>
        <w:t>在采集终端中直接使用个人生物识别信息实现身份识别</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认证等功能</w:t>
      </w:r>
      <w:r>
        <w:rPr>
          <w:rFonts w:hint="eastAsia" w:ascii="仿宋" w:hAnsi="仿宋" w:eastAsia="仿宋" w:cs="仿宋"/>
          <w:color w:val="000000"/>
          <w:kern w:val="0"/>
          <w:sz w:val="24"/>
          <w:lang w:bidi="ar"/>
        </w:rPr>
        <w:t>。</w:t>
      </w:r>
    </w:p>
    <w:p>
      <w:pPr>
        <w:pStyle w:val="36"/>
        <w:numPr>
          <w:ilvl w:val="0"/>
          <w:numId w:val="44"/>
        </w:numPr>
        <w:spacing w:line="360" w:lineRule="auto"/>
        <w:ind w:left="851" w:firstLine="0" w:firstLineChars="0"/>
        <w:rPr>
          <w:rFonts w:ascii="仿宋" w:hAnsi="仿宋" w:eastAsia="仿宋" w:cs="仿宋"/>
          <w:color w:val="000000"/>
          <w:kern w:val="0"/>
          <w:sz w:val="24"/>
          <w:lang w:bidi="ar"/>
        </w:rPr>
      </w:pPr>
      <w:r>
        <w:rPr>
          <w:rFonts w:ascii="仿宋" w:hAnsi="仿宋" w:eastAsia="仿宋" w:cs="仿宋"/>
          <w:color w:val="000000"/>
          <w:kern w:val="0"/>
          <w:sz w:val="24"/>
          <w:lang w:bidi="ar"/>
        </w:rPr>
        <w:t>在使用面部识别特征</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指纹</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掌纹</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虹膜等实现识别身份</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认证等功能后删除可提取个人生物识别信息的原始图像</w:t>
      </w:r>
      <w:r>
        <w:rPr>
          <w:rFonts w:hint="eastAsia" w:ascii="仿宋" w:hAnsi="仿宋" w:eastAsia="仿宋" w:cs="仿宋"/>
          <w:color w:val="000000"/>
          <w:kern w:val="0"/>
          <w:sz w:val="24"/>
          <w:lang w:bidi="ar"/>
        </w:rPr>
        <w:t>。</w:t>
      </w:r>
    </w:p>
    <w:p>
      <w:pPr>
        <w:pStyle w:val="36"/>
        <w:numPr>
          <w:ilvl w:val="0"/>
          <w:numId w:val="43"/>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当公司停止运营产品或服务时</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应采取如下措施</w:t>
      </w:r>
      <w:r>
        <w:rPr>
          <w:rFonts w:hint="eastAsia" w:ascii="仿宋" w:hAnsi="仿宋" w:eastAsia="仿宋" w:cs="仿宋"/>
          <w:color w:val="000000"/>
          <w:kern w:val="0"/>
          <w:sz w:val="24"/>
          <w:lang w:bidi="ar"/>
        </w:rPr>
        <w:t>：</w:t>
      </w:r>
    </w:p>
    <w:p>
      <w:pPr>
        <w:pStyle w:val="36"/>
        <w:numPr>
          <w:ilvl w:val="0"/>
          <w:numId w:val="45"/>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及时停止继续收集个人信息。</w:t>
      </w:r>
    </w:p>
    <w:p>
      <w:pPr>
        <w:pStyle w:val="36"/>
        <w:numPr>
          <w:ilvl w:val="0"/>
          <w:numId w:val="45"/>
        </w:numPr>
        <w:spacing w:line="360" w:lineRule="auto"/>
        <w:ind w:hanging="349" w:firstLineChars="0"/>
        <w:rPr>
          <w:rFonts w:ascii="仿宋" w:hAnsi="仿宋" w:eastAsia="仿宋" w:cs="仿宋"/>
          <w:color w:val="000000"/>
          <w:kern w:val="0"/>
          <w:sz w:val="24"/>
          <w:lang w:bidi="ar"/>
        </w:rPr>
      </w:pPr>
      <w:r>
        <w:rPr>
          <w:rFonts w:ascii="仿宋" w:hAnsi="仿宋" w:eastAsia="仿宋" w:cs="仿宋"/>
          <w:color w:val="000000"/>
          <w:kern w:val="0"/>
          <w:sz w:val="24"/>
          <w:lang w:bidi="ar"/>
        </w:rPr>
        <w:t>将停止运营的通知以逐一送达或公告的形式通知个人信息主体</w:t>
      </w:r>
      <w:r>
        <w:rPr>
          <w:rFonts w:hint="eastAsia" w:ascii="仿宋" w:hAnsi="仿宋" w:eastAsia="仿宋" w:cs="仿宋"/>
          <w:color w:val="000000"/>
          <w:kern w:val="0"/>
          <w:sz w:val="24"/>
          <w:lang w:bidi="ar"/>
        </w:rPr>
        <w:t>。</w:t>
      </w:r>
    </w:p>
    <w:p>
      <w:pPr>
        <w:pStyle w:val="36"/>
        <w:numPr>
          <w:ilvl w:val="0"/>
          <w:numId w:val="45"/>
        </w:numPr>
        <w:spacing w:line="360" w:lineRule="auto"/>
        <w:ind w:hanging="349" w:firstLineChars="0"/>
        <w:rPr>
          <w:rFonts w:ascii="仿宋" w:hAnsi="仿宋" w:eastAsia="仿宋" w:cs="仿宋"/>
          <w:color w:val="000000"/>
          <w:kern w:val="0"/>
          <w:sz w:val="24"/>
          <w:lang w:bidi="ar"/>
        </w:rPr>
      </w:pPr>
      <w:r>
        <w:rPr>
          <w:rFonts w:ascii="仿宋" w:hAnsi="仿宋" w:eastAsia="仿宋" w:cs="仿宋"/>
          <w:color w:val="000000"/>
          <w:kern w:val="0"/>
          <w:sz w:val="24"/>
          <w:lang w:bidi="ar"/>
        </w:rPr>
        <w:t>对其所持有的个人信息进行删除或匿名化处理</w:t>
      </w:r>
      <w:r>
        <w:rPr>
          <w:rFonts w:hint="eastAsia" w:ascii="仿宋" w:hAnsi="仿宋" w:eastAsia="仿宋" w:cs="仿宋"/>
          <w:color w:val="000000"/>
          <w:kern w:val="0"/>
          <w:sz w:val="24"/>
          <w:lang w:bidi="ar"/>
        </w:rPr>
        <w:t>。</w:t>
      </w:r>
    </w:p>
    <w:p>
      <w:pPr>
        <w:pStyle w:val="36"/>
        <w:numPr>
          <w:ilvl w:val="0"/>
          <w:numId w:val="45"/>
        </w:numPr>
        <w:spacing w:line="360" w:lineRule="auto"/>
        <w:ind w:left="851"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对于需要还原密文的场景，必须使用业界认可且不易被攻破的加密算法，例如对称加密至少使用</w:t>
      </w:r>
      <w:r>
        <w:rPr>
          <w:rFonts w:ascii="仿宋" w:hAnsi="仿宋" w:eastAsia="仿宋" w:cs="仿宋"/>
          <w:color w:val="000000"/>
          <w:kern w:val="0"/>
          <w:sz w:val="24"/>
          <w:lang w:bidi="ar"/>
        </w:rPr>
        <w:t xml:space="preserve"> AES-256，非对称加密建议秘钥长度 1024 </w:t>
      </w:r>
      <w:r>
        <w:rPr>
          <w:rFonts w:hint="eastAsia" w:ascii="仿宋" w:hAnsi="仿宋" w:eastAsia="仿宋" w:cs="仿宋"/>
          <w:color w:val="000000"/>
          <w:kern w:val="0"/>
          <w:sz w:val="24"/>
          <w:lang w:bidi="ar"/>
        </w:rPr>
        <w:t>以上。加密机制设计参考表</w:t>
      </w:r>
      <w:r>
        <w:rPr>
          <w:rFonts w:ascii="仿宋" w:hAnsi="仿宋" w:eastAsia="仿宋" w:cs="仿宋"/>
          <w:color w:val="000000"/>
          <w:kern w:val="0"/>
          <w:sz w:val="24"/>
          <w:lang w:bidi="ar"/>
        </w:rPr>
        <w:t>4和图2。</w:t>
      </w:r>
    </w:p>
    <w:p>
      <w:pPr>
        <w:pStyle w:val="36"/>
        <w:spacing w:line="360" w:lineRule="auto"/>
        <w:ind w:left="1200" w:firstLine="0" w:firstLineChars="0"/>
        <w:rPr>
          <w:rFonts w:ascii="仿宋" w:hAnsi="仿宋" w:eastAsia="仿宋" w:cs="仿宋"/>
          <w:color w:val="000000"/>
          <w:kern w:val="0"/>
          <w:sz w:val="24"/>
          <w:lang w:bidi="ar"/>
        </w:rPr>
      </w:pPr>
    </w:p>
    <w:tbl>
      <w:tblPr>
        <w:tblStyle w:val="1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6"/>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6" w:type="dxa"/>
            <w:shd w:val="clear" w:color="auto" w:fill="D8D8D8" w:themeFill="background1" w:themeFillShade="D9"/>
            <w:vAlign w:val="center"/>
          </w:tcPr>
          <w:p>
            <w:pPr>
              <w:pStyle w:val="36"/>
              <w:spacing w:line="360" w:lineRule="auto"/>
              <w:ind w:firstLine="0" w:firstLineChars="0"/>
              <w:jc w:val="center"/>
              <w:rPr>
                <w:rFonts w:ascii="仿宋" w:hAnsi="仿宋" w:eastAsia="仿宋" w:cs="仿宋"/>
                <w:b/>
                <w:color w:val="000000"/>
                <w:kern w:val="0"/>
                <w:sz w:val="24"/>
                <w:lang w:bidi="ar"/>
              </w:rPr>
            </w:pPr>
            <w:r>
              <w:rPr>
                <w:rFonts w:ascii="仿宋" w:hAnsi="仿宋" w:eastAsia="仿宋" w:cs="仿宋"/>
                <w:b/>
                <w:color w:val="000000"/>
                <w:kern w:val="0"/>
                <w:sz w:val="24"/>
                <w:lang w:bidi="ar"/>
              </w:rPr>
              <w:t>关键项</w:t>
            </w:r>
          </w:p>
        </w:tc>
        <w:tc>
          <w:tcPr>
            <w:tcW w:w="7796" w:type="dxa"/>
            <w:shd w:val="clear" w:color="auto" w:fill="D8D8D8" w:themeFill="background1" w:themeFillShade="D9"/>
            <w:vAlign w:val="center"/>
          </w:tcPr>
          <w:p>
            <w:pPr>
              <w:pStyle w:val="36"/>
              <w:spacing w:line="360" w:lineRule="auto"/>
              <w:ind w:firstLine="0" w:firstLineChars="0"/>
              <w:jc w:val="center"/>
              <w:rPr>
                <w:rFonts w:ascii="仿宋" w:hAnsi="仿宋" w:eastAsia="仿宋" w:cs="仿宋"/>
                <w:b/>
                <w:color w:val="000000"/>
                <w:kern w:val="0"/>
                <w:sz w:val="24"/>
                <w:lang w:bidi="ar"/>
              </w:rPr>
            </w:pPr>
            <w:r>
              <w:rPr>
                <w:rFonts w:ascii="仿宋" w:hAnsi="仿宋" w:eastAsia="仿宋" w:cs="仿宋"/>
                <w:b/>
                <w:color w:val="000000"/>
                <w:kern w:val="0"/>
                <w:sz w:val="24"/>
                <w:lang w:bidi="ar"/>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6" w:type="dxa"/>
            <w:vAlign w:val="center"/>
          </w:tcPr>
          <w:p>
            <w:pPr>
              <w:pStyle w:val="36"/>
              <w:spacing w:line="360" w:lineRule="auto"/>
              <w:ind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eastAsia="zh-Hans"/>
              </w:rPr>
              <w:t>统一平台</w:t>
            </w:r>
          </w:p>
        </w:tc>
        <w:tc>
          <w:tcPr>
            <w:tcW w:w="7796" w:type="dxa"/>
            <w:vAlign w:val="center"/>
          </w:tcPr>
          <w:p>
            <w:pPr>
              <w:pStyle w:val="36"/>
              <w:spacing w:line="360" w:lineRule="auto"/>
              <w:ind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eastAsia="zh-Hans"/>
              </w:rPr>
              <w:t>公司应建设统一的数据加解密服务平台</w:t>
            </w:r>
            <w:r>
              <w:rPr>
                <w:rFonts w:ascii="仿宋" w:hAnsi="仿宋" w:eastAsia="仿宋" w:cs="仿宋"/>
                <w:color w:val="000000"/>
                <w:kern w:val="0"/>
                <w:sz w:val="24"/>
                <w:lang w:eastAsia="zh-Hans"/>
              </w:rPr>
              <w:t>，</w:t>
            </w:r>
            <w:r>
              <w:rPr>
                <w:rFonts w:hint="eastAsia" w:ascii="仿宋" w:hAnsi="仿宋" w:eastAsia="仿宋" w:cs="仿宋"/>
                <w:color w:val="000000"/>
                <w:kern w:val="0"/>
                <w:sz w:val="24"/>
                <w:lang w:eastAsia="zh-Hans"/>
              </w:rPr>
              <w:t>为各业务提供接入服务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6" w:type="dxa"/>
            <w:vAlign w:val="center"/>
          </w:tcPr>
          <w:p>
            <w:pPr>
              <w:pStyle w:val="36"/>
              <w:spacing w:line="360" w:lineRule="auto"/>
              <w:ind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eastAsia="zh-Hans"/>
              </w:rPr>
              <w:t>平台组件</w:t>
            </w:r>
          </w:p>
        </w:tc>
        <w:tc>
          <w:tcPr>
            <w:tcW w:w="7796" w:type="dxa"/>
            <w:vAlign w:val="center"/>
          </w:tcPr>
          <w:p>
            <w:pPr>
              <w:pStyle w:val="36"/>
              <w:spacing w:line="360" w:lineRule="auto"/>
              <w:ind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eastAsia="zh-Hans"/>
              </w:rPr>
              <w:t>平台应实现密钥管理服务</w:t>
            </w:r>
            <w:r>
              <w:rPr>
                <w:rFonts w:ascii="仿宋" w:hAnsi="仿宋" w:eastAsia="仿宋" w:cs="仿宋"/>
                <w:color w:val="000000"/>
                <w:kern w:val="0"/>
                <w:sz w:val="24"/>
                <w:lang w:eastAsia="zh-Hans"/>
              </w:rPr>
              <w:t>KMS、</w:t>
            </w:r>
            <w:r>
              <w:rPr>
                <w:rFonts w:hint="eastAsia" w:ascii="仿宋" w:hAnsi="仿宋" w:eastAsia="仿宋" w:cs="仿宋"/>
                <w:color w:val="000000"/>
                <w:kern w:val="0"/>
                <w:sz w:val="24"/>
                <w:lang w:eastAsia="zh-Hans"/>
              </w:rPr>
              <w:t>业务</w:t>
            </w:r>
            <w:r>
              <w:rPr>
                <w:rFonts w:ascii="仿宋" w:hAnsi="仿宋" w:eastAsia="仿宋" w:cs="仿宋"/>
                <w:color w:val="000000"/>
                <w:kern w:val="0"/>
                <w:sz w:val="24"/>
                <w:lang w:eastAsia="zh-Hans"/>
              </w:rPr>
              <w:t>主密钥CMK、数据密钥DEK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6" w:type="dxa"/>
            <w:vAlign w:val="center"/>
          </w:tcPr>
          <w:p>
            <w:pPr>
              <w:pStyle w:val="36"/>
              <w:spacing w:line="360" w:lineRule="auto"/>
              <w:ind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eastAsia="zh-Hans"/>
              </w:rPr>
              <w:t>数据接口服务</w:t>
            </w:r>
          </w:p>
        </w:tc>
        <w:tc>
          <w:tcPr>
            <w:tcW w:w="7796" w:type="dxa"/>
            <w:vAlign w:val="center"/>
          </w:tcPr>
          <w:p>
            <w:pPr>
              <w:pStyle w:val="36"/>
              <w:spacing w:line="360" w:lineRule="auto"/>
              <w:ind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eastAsia="zh-Hans"/>
              </w:rPr>
              <w:t>提供统一的数据接口服务</w:t>
            </w:r>
            <w:r>
              <w:rPr>
                <w:rFonts w:ascii="仿宋" w:hAnsi="仿宋" w:eastAsia="仿宋" w:cs="仿宋"/>
                <w:color w:val="000000"/>
                <w:kern w:val="0"/>
                <w:sz w:val="24"/>
                <w:lang w:eastAsia="zh-Hans"/>
              </w:rPr>
              <w:t>，</w:t>
            </w:r>
            <w:r>
              <w:rPr>
                <w:rFonts w:hint="eastAsia" w:ascii="仿宋" w:hAnsi="仿宋" w:eastAsia="仿宋" w:cs="仿宋"/>
                <w:color w:val="000000"/>
                <w:kern w:val="0"/>
                <w:sz w:val="24"/>
                <w:lang w:eastAsia="zh-Hans"/>
              </w:rPr>
              <w:t>减少应用直接访问数据库操作敏感数据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6" w:type="dxa"/>
            <w:vAlign w:val="center"/>
          </w:tcPr>
          <w:p>
            <w:pPr>
              <w:pStyle w:val="36"/>
              <w:spacing w:line="360" w:lineRule="auto"/>
              <w:ind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eastAsia="zh-Hans"/>
              </w:rPr>
              <w:t>一用户一密钥</w:t>
            </w:r>
          </w:p>
        </w:tc>
        <w:tc>
          <w:tcPr>
            <w:tcW w:w="7796" w:type="dxa"/>
            <w:vAlign w:val="center"/>
          </w:tcPr>
          <w:p>
            <w:pPr>
              <w:pStyle w:val="36"/>
              <w:spacing w:line="360" w:lineRule="auto"/>
              <w:ind w:firstLine="0" w:firstLineChars="0"/>
              <w:rPr>
                <w:rFonts w:ascii="仿宋" w:hAnsi="仿宋" w:eastAsia="仿宋" w:cs="仿宋"/>
                <w:color w:val="000000"/>
                <w:kern w:val="0"/>
                <w:sz w:val="24"/>
                <w:lang w:bidi="ar"/>
              </w:rPr>
            </w:pPr>
            <w:r>
              <w:rPr>
                <w:rFonts w:hint="eastAsia" w:ascii="仿宋" w:hAnsi="仿宋" w:eastAsia="仿宋" w:cs="仿宋"/>
                <w:color w:val="000000"/>
                <w:kern w:val="0"/>
                <w:sz w:val="24"/>
                <w:lang w:eastAsia="zh-Hans"/>
              </w:rPr>
              <w:t>为每个用户提供单独的密钥</w:t>
            </w:r>
            <w:r>
              <w:rPr>
                <w:rFonts w:ascii="仿宋" w:hAnsi="仿宋" w:eastAsia="仿宋" w:cs="仿宋"/>
                <w:color w:val="000000"/>
                <w:kern w:val="0"/>
                <w:sz w:val="24"/>
                <w:lang w:eastAsia="zh-Hans"/>
              </w:rPr>
              <w:t>，</w:t>
            </w:r>
            <w:r>
              <w:rPr>
                <w:rFonts w:hint="eastAsia" w:ascii="仿宋" w:hAnsi="仿宋" w:eastAsia="仿宋" w:cs="仿宋"/>
                <w:color w:val="000000"/>
                <w:kern w:val="0"/>
                <w:sz w:val="24"/>
                <w:lang w:eastAsia="zh-Hans"/>
              </w:rPr>
              <w:t>减少被破解的风险和概率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6" w:type="dxa"/>
            <w:vAlign w:val="center"/>
          </w:tcPr>
          <w:p>
            <w:pPr>
              <w:pStyle w:val="36"/>
              <w:spacing w:line="360" w:lineRule="auto"/>
              <w:ind w:firstLine="0" w:firstLineChars="0"/>
              <w:rPr>
                <w:rFonts w:ascii="仿宋" w:hAnsi="仿宋" w:eastAsia="仿宋" w:cs="仿宋"/>
                <w:color w:val="000000"/>
                <w:kern w:val="0"/>
                <w:sz w:val="24"/>
                <w:lang w:eastAsia="zh-Hans"/>
              </w:rPr>
            </w:pPr>
            <w:r>
              <w:rPr>
                <w:rFonts w:hint="eastAsia" w:ascii="仿宋" w:hAnsi="仿宋" w:eastAsia="仿宋" w:cs="仿宋"/>
                <w:color w:val="000000"/>
                <w:kern w:val="0"/>
                <w:sz w:val="24"/>
                <w:lang w:eastAsia="zh-Hans"/>
              </w:rPr>
              <w:t>二级加密</w:t>
            </w:r>
          </w:p>
        </w:tc>
        <w:tc>
          <w:tcPr>
            <w:tcW w:w="7796" w:type="dxa"/>
            <w:vAlign w:val="center"/>
          </w:tcPr>
          <w:p>
            <w:pPr>
              <w:pStyle w:val="36"/>
              <w:spacing w:line="360" w:lineRule="auto"/>
              <w:ind w:firstLine="0" w:firstLineChars="0"/>
              <w:rPr>
                <w:rFonts w:ascii="仿宋" w:hAnsi="仿宋" w:eastAsia="仿宋" w:cs="仿宋"/>
                <w:color w:val="000000"/>
                <w:kern w:val="0"/>
                <w:sz w:val="24"/>
                <w:lang w:eastAsia="zh-Hans"/>
              </w:rPr>
            </w:pPr>
            <w:r>
              <w:rPr>
                <w:rFonts w:hint="eastAsia" w:ascii="仿宋" w:hAnsi="仿宋" w:eastAsia="仿宋" w:cs="仿宋"/>
                <w:color w:val="000000"/>
                <w:kern w:val="0"/>
                <w:sz w:val="24"/>
                <w:lang w:eastAsia="zh-Hans"/>
              </w:rPr>
              <w:t>加解密平台应设计为多层加密系统</w:t>
            </w:r>
            <w:r>
              <w:rPr>
                <w:rFonts w:ascii="仿宋" w:hAnsi="仿宋" w:eastAsia="仿宋" w:cs="仿宋"/>
                <w:color w:val="000000"/>
                <w:kern w:val="0"/>
                <w:sz w:val="24"/>
                <w:lang w:eastAsia="zh-Hans"/>
              </w:rPr>
              <w:t>，</w:t>
            </w:r>
            <w:r>
              <w:rPr>
                <w:rFonts w:hint="eastAsia" w:ascii="仿宋" w:hAnsi="仿宋" w:eastAsia="仿宋" w:cs="仿宋"/>
                <w:color w:val="000000"/>
                <w:kern w:val="0"/>
                <w:sz w:val="24"/>
                <w:lang w:eastAsia="zh-Hans"/>
              </w:rPr>
              <w:t>对密钥进行二次加密</w:t>
            </w:r>
            <w:r>
              <w:rPr>
                <w:rFonts w:ascii="仿宋" w:hAnsi="仿宋" w:eastAsia="仿宋" w:cs="仿宋"/>
                <w:color w:val="000000"/>
                <w:kern w:val="0"/>
                <w:sz w:val="24"/>
                <w:lang w:eastAsia="zh-Hans"/>
              </w:rPr>
              <w:t>，</w:t>
            </w:r>
            <w:r>
              <w:rPr>
                <w:rFonts w:hint="eastAsia" w:ascii="仿宋" w:hAnsi="仿宋" w:eastAsia="仿宋" w:cs="仿宋"/>
                <w:color w:val="000000"/>
                <w:kern w:val="0"/>
                <w:sz w:val="24"/>
                <w:lang w:eastAsia="zh-Hans"/>
              </w:rPr>
              <w:t>防止单点突破和泄漏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6" w:type="dxa"/>
            <w:vAlign w:val="center"/>
          </w:tcPr>
          <w:p>
            <w:pPr>
              <w:pStyle w:val="36"/>
              <w:spacing w:line="360" w:lineRule="auto"/>
              <w:ind w:firstLine="0" w:firstLineChars="0"/>
              <w:rPr>
                <w:rFonts w:ascii="仿宋" w:hAnsi="仿宋" w:eastAsia="仿宋" w:cs="仿宋"/>
                <w:color w:val="000000"/>
                <w:kern w:val="0"/>
                <w:sz w:val="24"/>
                <w:lang w:eastAsia="zh-Hans"/>
              </w:rPr>
            </w:pPr>
            <w:r>
              <w:rPr>
                <w:rFonts w:hint="eastAsia" w:ascii="仿宋" w:hAnsi="仿宋" w:eastAsia="仿宋" w:cs="仿宋"/>
                <w:color w:val="000000"/>
                <w:kern w:val="0"/>
                <w:sz w:val="24"/>
                <w:lang w:eastAsia="zh-Hans"/>
              </w:rPr>
              <w:t>访问控制与审计</w:t>
            </w:r>
          </w:p>
        </w:tc>
        <w:tc>
          <w:tcPr>
            <w:tcW w:w="7796" w:type="dxa"/>
            <w:vAlign w:val="center"/>
          </w:tcPr>
          <w:p>
            <w:pPr>
              <w:pStyle w:val="36"/>
              <w:keepNext/>
              <w:spacing w:line="360" w:lineRule="auto"/>
              <w:ind w:firstLine="0" w:firstLineChars="0"/>
              <w:rPr>
                <w:rFonts w:ascii="仿宋" w:hAnsi="仿宋" w:eastAsia="仿宋" w:cs="仿宋"/>
                <w:color w:val="000000"/>
                <w:kern w:val="0"/>
                <w:sz w:val="24"/>
                <w:lang w:eastAsia="zh-Hans"/>
              </w:rPr>
            </w:pPr>
            <w:r>
              <w:rPr>
                <w:rFonts w:hint="eastAsia" w:ascii="仿宋" w:hAnsi="仿宋" w:eastAsia="仿宋" w:cs="仿宋"/>
                <w:color w:val="000000"/>
                <w:kern w:val="0"/>
                <w:sz w:val="24"/>
                <w:lang w:eastAsia="zh-Hans"/>
              </w:rPr>
              <w:t>对不同的业务调用方</w:t>
            </w:r>
            <w:r>
              <w:rPr>
                <w:rFonts w:ascii="仿宋" w:hAnsi="仿宋" w:eastAsia="仿宋" w:cs="仿宋"/>
                <w:color w:val="000000"/>
                <w:kern w:val="0"/>
                <w:sz w:val="24"/>
                <w:lang w:eastAsia="zh-Hans"/>
              </w:rPr>
              <w:t>，</w:t>
            </w:r>
            <w:r>
              <w:rPr>
                <w:rFonts w:hint="eastAsia" w:ascii="仿宋" w:hAnsi="仿宋" w:eastAsia="仿宋" w:cs="仿宋"/>
                <w:color w:val="000000"/>
                <w:kern w:val="0"/>
                <w:sz w:val="24"/>
                <w:lang w:eastAsia="zh-Hans"/>
              </w:rPr>
              <w:t>应设置单独的</w:t>
            </w:r>
            <w:r>
              <w:rPr>
                <w:rFonts w:ascii="仿宋" w:hAnsi="仿宋" w:eastAsia="仿宋" w:cs="仿宋"/>
                <w:color w:val="000000"/>
                <w:kern w:val="0"/>
                <w:sz w:val="24"/>
                <w:lang w:eastAsia="zh-Hans"/>
              </w:rPr>
              <w:t>API_KEY，</w:t>
            </w:r>
            <w:r>
              <w:rPr>
                <w:rFonts w:hint="eastAsia" w:ascii="仿宋" w:hAnsi="仿宋" w:eastAsia="仿宋" w:cs="仿宋"/>
                <w:color w:val="000000"/>
                <w:kern w:val="0"/>
                <w:sz w:val="24"/>
                <w:lang w:eastAsia="zh-Hans"/>
              </w:rPr>
              <w:t>记录和审计每次调用</w:t>
            </w:r>
          </w:p>
        </w:tc>
      </w:tr>
    </w:tbl>
    <w:p>
      <w:pPr>
        <w:pStyle w:val="7"/>
        <w:jc w:val="center"/>
        <w:rPr>
          <w:rFonts w:ascii="仿宋" w:hAnsi="仿宋" w:eastAsia="仿宋" w:cs="仿宋"/>
          <w:sz w:val="21"/>
          <w:szCs w:val="21"/>
        </w:rPr>
      </w:pPr>
      <w:r>
        <w:rPr>
          <w:rFonts w:hint="eastAsia" w:ascii="仿宋" w:hAnsi="仿宋" w:eastAsia="仿宋" w:cs="仿宋"/>
          <w:sz w:val="21"/>
          <w:szCs w:val="21"/>
        </w:rPr>
        <w:t xml:space="preserve">表 </w:t>
      </w:r>
      <w:r>
        <w:rPr>
          <w:rFonts w:ascii="仿宋" w:hAnsi="仿宋" w:eastAsia="仿宋" w:cs="仿宋"/>
          <w:sz w:val="21"/>
          <w:szCs w:val="21"/>
        </w:rPr>
        <w:fldChar w:fldCharType="begin"/>
      </w:r>
      <w:r>
        <w:rPr>
          <w:rFonts w:ascii="仿宋" w:hAnsi="仿宋" w:eastAsia="仿宋" w:cs="仿宋"/>
          <w:sz w:val="21"/>
          <w:szCs w:val="21"/>
        </w:rPr>
        <w:instrText xml:space="preserve"> </w:instrText>
      </w:r>
      <w:r>
        <w:rPr>
          <w:rFonts w:hint="eastAsia" w:ascii="仿宋" w:hAnsi="仿宋" w:eastAsia="仿宋" w:cs="仿宋"/>
          <w:sz w:val="21"/>
          <w:szCs w:val="21"/>
        </w:rPr>
        <w:instrText xml:space="preserve">SEQ 表 \* ARABIC</w:instrText>
      </w:r>
      <w:r>
        <w:rPr>
          <w:rFonts w:ascii="仿宋" w:hAnsi="仿宋" w:eastAsia="仿宋" w:cs="仿宋"/>
          <w:sz w:val="21"/>
          <w:szCs w:val="21"/>
        </w:rPr>
        <w:instrText xml:space="preserve"> </w:instrText>
      </w:r>
      <w:r>
        <w:rPr>
          <w:rFonts w:ascii="仿宋" w:hAnsi="仿宋" w:eastAsia="仿宋" w:cs="仿宋"/>
          <w:sz w:val="21"/>
          <w:szCs w:val="21"/>
        </w:rPr>
        <w:fldChar w:fldCharType="separate"/>
      </w:r>
      <w:r>
        <w:rPr>
          <w:rFonts w:ascii="仿宋" w:hAnsi="仿宋" w:eastAsia="仿宋" w:cs="仿宋"/>
          <w:sz w:val="21"/>
          <w:szCs w:val="21"/>
        </w:rPr>
        <w:t>4</w:t>
      </w:r>
      <w:r>
        <w:rPr>
          <w:rFonts w:ascii="仿宋" w:hAnsi="仿宋" w:eastAsia="仿宋" w:cs="仿宋"/>
          <w:sz w:val="21"/>
          <w:szCs w:val="21"/>
        </w:rPr>
        <w:fldChar w:fldCharType="end"/>
      </w:r>
      <w:r>
        <w:rPr>
          <w:rFonts w:ascii="仿宋" w:hAnsi="仿宋" w:eastAsia="仿宋" w:cs="仿宋"/>
          <w:sz w:val="21"/>
          <w:szCs w:val="21"/>
        </w:rPr>
        <w:t xml:space="preserve"> </w:t>
      </w:r>
      <w:r>
        <w:rPr>
          <w:rFonts w:hint="eastAsia" w:ascii="仿宋" w:hAnsi="仿宋" w:eastAsia="仿宋" w:cs="仿宋"/>
          <w:sz w:val="21"/>
          <w:szCs w:val="21"/>
        </w:rPr>
        <w:t>数据加密服务涉及关键项</w:t>
      </w:r>
    </w:p>
    <w:p>
      <w:pPr>
        <w:widowControl/>
        <w:spacing w:line="360" w:lineRule="auto"/>
        <w:rPr>
          <w:rFonts w:ascii="仿宋" w:hAnsi="仿宋" w:eastAsia="仿宋" w:cs="仿宋"/>
        </w:rPr>
      </w:pPr>
      <w:r>
        <w:rPr>
          <w:rFonts w:ascii="仿宋" w:hAnsi="仿宋" w:eastAsia="仿宋" w:cs="仿宋"/>
          <w:sz w:val="24"/>
        </w:rPr>
        <w:drawing>
          <wp:inline distT="0" distB="0" distL="114300" distR="114300">
            <wp:extent cx="6641465" cy="5623560"/>
            <wp:effectExtent l="0" t="0" r="13335" b="15240"/>
            <wp:docPr id="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pic:cNvPicPr>
                      <a:picLocks noChangeAspect="1"/>
                    </pic:cNvPicPr>
                  </pic:nvPicPr>
                  <pic:blipFill>
                    <a:blip r:embed="rId11"/>
                    <a:stretch>
                      <a:fillRect/>
                    </a:stretch>
                  </pic:blipFill>
                  <pic:spPr>
                    <a:xfrm>
                      <a:off x="0" y="0"/>
                      <a:ext cx="6641465" cy="5623560"/>
                    </a:xfrm>
                    <a:prstGeom prst="rect">
                      <a:avLst/>
                    </a:prstGeom>
                    <a:noFill/>
                    <a:ln w="9525">
                      <a:noFill/>
                    </a:ln>
                  </pic:spPr>
                </pic:pic>
              </a:graphicData>
            </a:graphic>
          </wp:inline>
        </w:drawing>
      </w:r>
    </w:p>
    <w:p>
      <w:pPr>
        <w:pStyle w:val="7"/>
        <w:jc w:val="center"/>
        <w:rPr>
          <w:rFonts w:ascii="仿宋" w:hAnsi="仿宋" w:eastAsia="仿宋" w:cs="仿宋"/>
          <w:sz w:val="21"/>
          <w:szCs w:val="21"/>
        </w:rPr>
      </w:pPr>
      <w:r>
        <w:rPr>
          <w:rFonts w:hint="eastAsia" w:ascii="仿宋" w:hAnsi="仿宋" w:eastAsia="仿宋" w:cs="仿宋"/>
          <w:sz w:val="21"/>
          <w:szCs w:val="21"/>
        </w:rPr>
        <w:t xml:space="preserve">图 </w:t>
      </w:r>
      <w:r>
        <w:rPr>
          <w:rFonts w:ascii="仿宋" w:hAnsi="仿宋" w:eastAsia="仿宋" w:cs="仿宋"/>
          <w:sz w:val="21"/>
          <w:szCs w:val="21"/>
        </w:rPr>
        <w:fldChar w:fldCharType="begin"/>
      </w:r>
      <w:r>
        <w:rPr>
          <w:rFonts w:ascii="仿宋" w:hAnsi="仿宋" w:eastAsia="仿宋" w:cs="仿宋"/>
          <w:sz w:val="21"/>
          <w:szCs w:val="21"/>
        </w:rPr>
        <w:instrText xml:space="preserve"> </w:instrText>
      </w:r>
      <w:r>
        <w:rPr>
          <w:rFonts w:hint="eastAsia" w:ascii="仿宋" w:hAnsi="仿宋" w:eastAsia="仿宋" w:cs="仿宋"/>
          <w:sz w:val="21"/>
          <w:szCs w:val="21"/>
        </w:rPr>
        <w:instrText xml:space="preserve">SEQ 图 \* ARABIC</w:instrText>
      </w:r>
      <w:r>
        <w:rPr>
          <w:rFonts w:ascii="仿宋" w:hAnsi="仿宋" w:eastAsia="仿宋" w:cs="仿宋"/>
          <w:sz w:val="21"/>
          <w:szCs w:val="21"/>
        </w:rPr>
        <w:instrText xml:space="preserve"> </w:instrText>
      </w:r>
      <w:r>
        <w:rPr>
          <w:rFonts w:ascii="仿宋" w:hAnsi="仿宋" w:eastAsia="仿宋" w:cs="仿宋"/>
          <w:sz w:val="21"/>
          <w:szCs w:val="21"/>
        </w:rPr>
        <w:fldChar w:fldCharType="separate"/>
      </w:r>
      <w:r>
        <w:rPr>
          <w:rFonts w:ascii="仿宋" w:hAnsi="仿宋" w:eastAsia="仿宋" w:cs="仿宋"/>
          <w:sz w:val="21"/>
          <w:szCs w:val="21"/>
        </w:rPr>
        <w:t>2</w:t>
      </w:r>
      <w:r>
        <w:rPr>
          <w:rFonts w:ascii="仿宋" w:hAnsi="仿宋" w:eastAsia="仿宋" w:cs="仿宋"/>
          <w:sz w:val="21"/>
          <w:szCs w:val="21"/>
        </w:rPr>
        <w:fldChar w:fldCharType="end"/>
      </w:r>
      <w:r>
        <w:rPr>
          <w:rFonts w:hint="eastAsia" w:ascii="仿宋" w:hAnsi="仿宋" w:eastAsia="仿宋" w:cs="仿宋"/>
          <w:sz w:val="21"/>
          <w:szCs w:val="21"/>
        </w:rPr>
        <w:t>数据存储加解密设计图</w:t>
      </w:r>
    </w:p>
    <w:p>
      <w:pPr>
        <w:widowControl/>
        <w:spacing w:line="360" w:lineRule="auto"/>
        <w:jc w:val="left"/>
        <w:rPr>
          <w:rFonts w:ascii="仿宋" w:hAnsi="仿宋" w:eastAsia="仿宋" w:cs="仿宋"/>
          <w:b/>
          <w:color w:val="000000"/>
          <w:kern w:val="0"/>
          <w:sz w:val="24"/>
          <w:lang w:bidi="ar"/>
        </w:rPr>
      </w:pPr>
    </w:p>
    <w:p>
      <w:pPr>
        <w:numPr>
          <w:ilvl w:val="2"/>
          <w:numId w:val="42"/>
        </w:numPr>
        <w:spacing w:line="360" w:lineRule="auto"/>
        <w:ind w:left="1276" w:hanging="850"/>
        <w:rPr>
          <w:rFonts w:ascii="仿宋" w:hAnsi="仿宋" w:eastAsia="仿宋" w:cs="仿宋"/>
          <w:sz w:val="24"/>
        </w:rPr>
      </w:pPr>
      <w:r>
        <w:rPr>
          <w:rFonts w:hint="eastAsia" w:ascii="仿宋" w:hAnsi="仿宋" w:eastAsia="仿宋" w:cs="仿宋"/>
          <w:sz w:val="24"/>
        </w:rPr>
        <w:t xml:space="preserve"> 数据线下存储安全要求 </w:t>
      </w:r>
    </w:p>
    <w:p>
      <w:pPr>
        <w:pStyle w:val="36"/>
        <w:numPr>
          <w:ilvl w:val="0"/>
          <w:numId w:val="4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公司员工应确保敏感数据的安全，禁止使用非加密移动存储设备拷贝、存储敏感数据。</w:t>
      </w:r>
      <w:r>
        <w:rPr>
          <w:rFonts w:ascii="仿宋" w:hAnsi="仿宋" w:eastAsia="仿宋" w:cs="仿宋"/>
          <w:color w:val="000000"/>
          <w:kern w:val="0"/>
          <w:sz w:val="24"/>
          <w:lang w:bidi="ar"/>
        </w:rPr>
        <w:t xml:space="preserve"> </w:t>
      </w:r>
    </w:p>
    <w:p>
      <w:pPr>
        <w:pStyle w:val="36"/>
        <w:numPr>
          <w:ilvl w:val="0"/>
          <w:numId w:val="4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原则上禁止将敏感数据存放在本地电脑，敏感数据的获取与使用需在公司提供的平台中完成。</w:t>
      </w:r>
    </w:p>
    <w:p>
      <w:pPr>
        <w:pStyle w:val="36"/>
        <w:numPr>
          <w:ilvl w:val="0"/>
          <w:numId w:val="4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涉及“敏感数据”的纸质文档应当保存在有锁的柜子中或独立的封闭区域（如档案室等），并且有门禁等进出记录。</w:t>
      </w:r>
    </w:p>
    <w:p>
      <w:pPr>
        <w:pStyle w:val="36"/>
        <w:numPr>
          <w:ilvl w:val="0"/>
          <w:numId w:val="4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涉及“敏感数据”的纸质文档不再使用后，应当立即以安全的销毁方式进行销毁。</w:t>
      </w:r>
      <w:r>
        <w:rPr>
          <w:rFonts w:ascii="仿宋" w:hAnsi="仿宋" w:eastAsia="仿宋" w:cs="仿宋"/>
          <w:color w:val="000000"/>
          <w:kern w:val="0"/>
          <w:sz w:val="24"/>
          <w:lang w:bidi="ar"/>
        </w:rPr>
        <w:t xml:space="preserve"> </w:t>
      </w:r>
    </w:p>
    <w:p>
      <w:pPr>
        <w:widowControl/>
        <w:spacing w:line="360" w:lineRule="auto"/>
        <w:jc w:val="center"/>
        <w:rPr>
          <w:rFonts w:ascii="仿宋" w:hAnsi="仿宋" w:eastAsia="仿宋" w:cs="仿宋"/>
          <w:b/>
          <w:bCs/>
          <w:color w:val="000000"/>
          <w:kern w:val="0"/>
          <w:sz w:val="24"/>
          <w:lang w:bidi="ar"/>
        </w:rPr>
      </w:pPr>
    </w:p>
    <w:p>
      <w:pPr>
        <w:pStyle w:val="28"/>
        <w:ind w:left="0"/>
        <w:rPr>
          <w:rFonts w:ascii="仿宋" w:hAnsi="仿宋" w:cs="仿宋"/>
          <w:sz w:val="24"/>
        </w:rPr>
      </w:pPr>
      <w:r>
        <w:rPr>
          <w:rFonts w:hint="eastAsia" w:ascii="仿宋" w:hAnsi="仿宋" w:cs="仿宋"/>
          <w:sz w:val="24"/>
        </w:rPr>
        <w:t xml:space="preserve"> 数据使用安全</w:t>
      </w:r>
    </w:p>
    <w:p>
      <w:pPr>
        <w:numPr>
          <w:ilvl w:val="2"/>
          <w:numId w:val="47"/>
        </w:numPr>
        <w:spacing w:line="360" w:lineRule="auto"/>
        <w:ind w:left="1134"/>
        <w:rPr>
          <w:rFonts w:ascii="仿宋" w:hAnsi="仿宋" w:eastAsia="仿宋" w:cs="仿宋"/>
          <w:sz w:val="24"/>
        </w:rPr>
      </w:pPr>
      <w:r>
        <w:rPr>
          <w:rFonts w:hint="eastAsia" w:ascii="仿宋" w:hAnsi="仿宋" w:eastAsia="仿宋" w:cs="仿宋"/>
          <w:sz w:val="24"/>
        </w:rPr>
        <w:t xml:space="preserve"> 数据展示安全要求</w:t>
      </w:r>
    </w:p>
    <w:p>
      <w:pPr>
        <w:pStyle w:val="36"/>
        <w:numPr>
          <w:ilvl w:val="0"/>
          <w:numId w:val="4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 xml:space="preserve">C1级别数据对外展示不受限制。 </w:t>
      </w:r>
    </w:p>
    <w:p>
      <w:pPr>
        <w:pStyle w:val="36"/>
        <w:numPr>
          <w:ilvl w:val="0"/>
          <w:numId w:val="4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 xml:space="preserve">C2及以上级别数据只对已授权用户展示，且应用系统中的个人敏感信息实现脱敏展示，包括但不限于姓名、证件号码（如身份证号、护照号）、银行卡号、地址、手机号码、固定电话、邮箱等。 </w:t>
      </w:r>
    </w:p>
    <w:p>
      <w:pPr>
        <w:pStyle w:val="36"/>
        <w:numPr>
          <w:ilvl w:val="0"/>
          <w:numId w:val="4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通过界面展示个人信息的</w:t>
      </w:r>
      <w:r>
        <w:rPr>
          <w:rFonts w:hint="eastAsia" w:ascii="仿宋" w:hAnsi="仿宋" w:eastAsia="仿宋" w:cs="仿宋"/>
          <w:color w:val="000000"/>
          <w:kern w:val="0"/>
          <w:sz w:val="24"/>
          <w:lang w:bidi="ar"/>
        </w:rPr>
        <w:t>（如显示屏幕、纸面等），在个人信息展示时，防止内部非授权人员及个人信息主体之外的其他人员未经授权获取个人信息。</w:t>
      </w:r>
    </w:p>
    <w:p>
      <w:pPr>
        <w:pStyle w:val="36"/>
        <w:numPr>
          <w:ilvl w:val="0"/>
          <w:numId w:val="48"/>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为准确评价个人用户状况</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可使用直接用户画像</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而用户推送商业广告目的时</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则应使用间接画像</w:t>
      </w:r>
      <w:r>
        <w:rPr>
          <w:rFonts w:hint="eastAsia" w:ascii="仿宋" w:hAnsi="仿宋" w:eastAsia="仿宋" w:cs="仿宋"/>
          <w:color w:val="000000"/>
          <w:kern w:val="0"/>
          <w:sz w:val="24"/>
          <w:lang w:bidi="ar"/>
        </w:rPr>
        <w:t>，确保使用个人信息时消除明确身份指向性，避免精准定位到特定个人。</w:t>
      </w:r>
    </w:p>
    <w:p>
      <w:pPr>
        <w:numPr>
          <w:ilvl w:val="2"/>
          <w:numId w:val="47"/>
        </w:numPr>
        <w:spacing w:line="360" w:lineRule="auto"/>
        <w:ind w:left="1134"/>
        <w:rPr>
          <w:rFonts w:ascii="仿宋" w:hAnsi="仿宋" w:eastAsia="仿宋" w:cs="仿宋"/>
          <w:sz w:val="24"/>
        </w:rPr>
      </w:pPr>
      <w:r>
        <w:rPr>
          <w:rFonts w:hint="eastAsia" w:ascii="仿宋" w:hAnsi="仿宋" w:eastAsia="仿宋" w:cs="仿宋"/>
          <w:sz w:val="24"/>
        </w:rPr>
        <w:t xml:space="preserve">数据脱敏安全要求 </w:t>
      </w:r>
    </w:p>
    <w:p>
      <w:pPr>
        <w:pStyle w:val="36"/>
        <w:numPr>
          <w:ilvl w:val="0"/>
          <w:numId w:val="4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所有包含敏感数据的应用系统应具备脱敏功能，采用自动扫描工具对系统中敏感数据进行扫描，识别敏感信息并脱敏处理。</w:t>
      </w:r>
      <w:r>
        <w:rPr>
          <w:rFonts w:ascii="仿宋" w:hAnsi="仿宋" w:eastAsia="仿宋" w:cs="仿宋"/>
          <w:color w:val="000000"/>
          <w:kern w:val="0"/>
          <w:sz w:val="24"/>
          <w:lang w:bidi="ar"/>
        </w:rPr>
        <w:t xml:space="preserve"> </w:t>
      </w:r>
    </w:p>
    <w:p>
      <w:pPr>
        <w:pStyle w:val="36"/>
        <w:numPr>
          <w:ilvl w:val="0"/>
          <w:numId w:val="4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敏感数据脱敏必须由应用程序后端执行，避免通过查看源代码获取明文信息。</w:t>
      </w:r>
      <w:r>
        <w:rPr>
          <w:rFonts w:ascii="仿宋" w:hAnsi="仿宋" w:eastAsia="仿宋" w:cs="仿宋"/>
          <w:color w:val="000000"/>
          <w:kern w:val="0"/>
          <w:sz w:val="24"/>
          <w:lang w:bidi="ar"/>
        </w:rPr>
        <w:t xml:space="preserve"> </w:t>
      </w:r>
    </w:p>
    <w:p>
      <w:pPr>
        <w:pStyle w:val="36"/>
        <w:numPr>
          <w:ilvl w:val="0"/>
          <w:numId w:val="4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应建设自动化扫描工具，对敏感数据进行自动发现、打标和监控。</w:t>
      </w:r>
      <w:r>
        <w:rPr>
          <w:rFonts w:ascii="仿宋" w:hAnsi="仿宋" w:eastAsia="仿宋" w:cs="仿宋"/>
          <w:color w:val="000000"/>
          <w:kern w:val="0"/>
          <w:sz w:val="24"/>
          <w:lang w:bidi="ar"/>
        </w:rPr>
        <w:t xml:space="preserve"> </w:t>
      </w:r>
    </w:p>
    <w:p>
      <w:pPr>
        <w:pStyle w:val="36"/>
        <w:numPr>
          <w:ilvl w:val="0"/>
          <w:numId w:val="4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测试环境禁止使用线上真实数据用于系统测试，若必须使用线上数据测试时必须脱敏处理。系统上线后进行线上验证时，读写操作不允许影响线上用户及数据安全。</w:t>
      </w:r>
      <w:r>
        <w:rPr>
          <w:rFonts w:ascii="仿宋" w:hAnsi="仿宋" w:eastAsia="仿宋" w:cs="仿宋"/>
          <w:color w:val="000000"/>
          <w:kern w:val="0"/>
          <w:sz w:val="24"/>
          <w:lang w:bidi="ar"/>
        </w:rPr>
        <w:t xml:space="preserve"> </w:t>
      </w:r>
    </w:p>
    <w:p>
      <w:pPr>
        <w:pStyle w:val="36"/>
        <w:numPr>
          <w:ilvl w:val="0"/>
          <w:numId w:val="4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数据脱敏降级应遵循业务适配原则，业务方根据原始数据特点、应用场景不同制定脱敏规则。 </w:t>
      </w:r>
    </w:p>
    <w:p>
      <w:pPr>
        <w:pStyle w:val="36"/>
        <w:numPr>
          <w:ilvl w:val="0"/>
          <w:numId w:val="4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数据脱敏应保持信息属性，如保留原数据的格式、原数据类型、原数据之间的依存关系、语义完整性、引用完整性、数据统计特征等。 </w:t>
      </w:r>
    </w:p>
    <w:p>
      <w:pPr>
        <w:pStyle w:val="36"/>
        <w:numPr>
          <w:ilvl w:val="0"/>
          <w:numId w:val="4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公司构建并维护通用敏感数据集合，各部门在此基础上细化各自的数据脱敏规则。通用敏感数据集包括但不限于：姓名、身份证号、银行卡号、手机号码、地址，以及学生的考试成绩、名次等学业信息。其中身份证号、银行卡号、手机号码、地址应进行全脱敏或半脱敏展示，具体脱敏方式如表</w:t>
      </w:r>
      <w:r>
        <w:rPr>
          <w:rFonts w:ascii="仿宋" w:hAnsi="仿宋" w:eastAsia="仿宋" w:cs="仿宋"/>
          <w:color w:val="000000"/>
          <w:kern w:val="0"/>
          <w:sz w:val="24"/>
          <w:lang w:bidi="ar"/>
        </w:rPr>
        <w:t>5</w:t>
      </w:r>
      <w:r>
        <w:rPr>
          <w:rFonts w:hint="eastAsia" w:ascii="仿宋" w:hAnsi="仿宋" w:eastAsia="仿宋" w:cs="仿宋"/>
          <w:color w:val="000000"/>
          <w:kern w:val="0"/>
          <w:sz w:val="24"/>
          <w:lang w:bidi="ar"/>
        </w:rPr>
        <w:t>所示：</w:t>
      </w:r>
    </w:p>
    <w:p>
      <w:pPr>
        <w:widowControl/>
        <w:spacing w:line="360" w:lineRule="auto"/>
        <w:ind w:firstLine="480" w:firstLineChars="200"/>
        <w:jc w:val="left"/>
        <w:rPr>
          <w:rFonts w:ascii="仿宋" w:hAnsi="仿宋" w:eastAsia="仿宋" w:cs="仿宋"/>
          <w:color w:val="000000"/>
          <w:kern w:val="0"/>
          <w:sz w:val="24"/>
          <w:lang w:bidi="ar"/>
        </w:rPr>
      </w:pP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7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35" w:type="dxa"/>
            <w:shd w:val="clear" w:color="auto" w:fill="D8D8D8" w:themeFill="background1" w:themeFillShade="D9"/>
          </w:tcPr>
          <w:p>
            <w:pPr>
              <w:widowControl/>
              <w:spacing w:line="360" w:lineRule="auto"/>
              <w:jc w:val="center"/>
              <w:rPr>
                <w:rFonts w:ascii="仿宋" w:hAnsi="仿宋" w:eastAsia="仿宋" w:cs="仿宋"/>
                <w:b/>
                <w:color w:val="000000"/>
                <w:kern w:val="0"/>
                <w:sz w:val="24"/>
                <w:lang w:bidi="ar"/>
              </w:rPr>
            </w:pPr>
            <w:r>
              <w:rPr>
                <w:rFonts w:ascii="仿宋" w:hAnsi="仿宋" w:eastAsia="仿宋" w:cs="仿宋"/>
                <w:b/>
                <w:color w:val="000000"/>
                <w:kern w:val="0"/>
                <w:sz w:val="24"/>
                <w:lang w:bidi="ar"/>
              </w:rPr>
              <w:t>敏感数据</w:t>
            </w:r>
          </w:p>
        </w:tc>
        <w:tc>
          <w:tcPr>
            <w:tcW w:w="7751" w:type="dxa"/>
            <w:shd w:val="clear" w:color="auto" w:fill="D8D8D8" w:themeFill="background1" w:themeFillShade="D9"/>
          </w:tcPr>
          <w:p>
            <w:pPr>
              <w:widowControl/>
              <w:spacing w:line="360" w:lineRule="auto"/>
              <w:jc w:val="center"/>
              <w:rPr>
                <w:rFonts w:ascii="仿宋" w:hAnsi="仿宋" w:eastAsia="仿宋" w:cs="仿宋"/>
                <w:b/>
                <w:color w:val="000000"/>
                <w:kern w:val="0"/>
                <w:sz w:val="24"/>
                <w:lang w:bidi="ar"/>
              </w:rPr>
            </w:pPr>
            <w:r>
              <w:rPr>
                <w:rFonts w:ascii="仿宋" w:hAnsi="仿宋" w:eastAsia="仿宋" w:cs="仿宋"/>
                <w:b/>
                <w:color w:val="000000"/>
                <w:kern w:val="0"/>
                <w:sz w:val="24"/>
                <w:lang w:bidi="ar"/>
              </w:rPr>
              <w:t>脱敏规则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35" w:type="dxa"/>
            <w:vAlign w:val="center"/>
          </w:tcPr>
          <w:p>
            <w:pPr>
              <w:widowControl/>
              <w:spacing w:line="360" w:lineRule="auto"/>
              <w:jc w:val="center"/>
              <w:rPr>
                <w:rFonts w:ascii="仿宋" w:hAnsi="仿宋" w:eastAsia="仿宋" w:cs="仿宋"/>
                <w:color w:val="000000"/>
                <w:kern w:val="0"/>
                <w:sz w:val="24"/>
                <w:lang w:bidi="ar"/>
              </w:rPr>
            </w:pPr>
            <w:r>
              <w:rPr>
                <w:rFonts w:hint="eastAsia" w:ascii="仿宋" w:hAnsi="仿宋" w:eastAsia="仿宋" w:cs="仿宋"/>
                <w:color w:val="000000"/>
                <w:kern w:val="0"/>
                <w:sz w:val="24"/>
              </w:rPr>
              <w:t>姓名</w:t>
            </w:r>
          </w:p>
        </w:tc>
        <w:tc>
          <w:tcPr>
            <w:tcW w:w="7751" w:type="dxa"/>
            <w:vAlign w:val="center"/>
          </w:tcPr>
          <w:p>
            <w:pPr>
              <w:widowControl/>
              <w:spacing w:line="360" w:lineRule="auto"/>
              <w:jc w:val="left"/>
              <w:rPr>
                <w:rFonts w:ascii="仿宋" w:hAnsi="仿宋" w:eastAsia="仿宋" w:cs="仿宋"/>
                <w:color w:val="000000"/>
                <w:kern w:val="0"/>
                <w:sz w:val="24"/>
                <w:lang w:bidi="ar"/>
              </w:rPr>
            </w:pPr>
            <w:r>
              <w:rPr>
                <w:rFonts w:hint="eastAsia" w:ascii="仿宋" w:hAnsi="仿宋" w:eastAsia="仿宋" w:cs="仿宋"/>
                <w:color w:val="000000"/>
                <w:kern w:val="0"/>
                <w:sz w:val="24"/>
              </w:rPr>
              <w:t>展示第一个字，后面都隐藏。如：张</w:t>
            </w:r>
            <w:r>
              <w:rPr>
                <w:rFonts w:ascii="仿宋" w:hAnsi="仿宋" w:eastAsia="仿宋" w:cs="仿宋"/>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35" w:type="dxa"/>
            <w:vAlign w:val="center"/>
          </w:tcPr>
          <w:p>
            <w:pPr>
              <w:widowControl/>
              <w:spacing w:line="360" w:lineRule="auto"/>
              <w:jc w:val="center"/>
              <w:rPr>
                <w:rFonts w:ascii="仿宋" w:hAnsi="仿宋" w:eastAsia="仿宋" w:cs="仿宋"/>
                <w:color w:val="000000"/>
                <w:kern w:val="0"/>
                <w:sz w:val="24"/>
                <w:lang w:bidi="ar"/>
              </w:rPr>
            </w:pPr>
            <w:r>
              <w:rPr>
                <w:rFonts w:hint="eastAsia" w:ascii="仿宋" w:hAnsi="仿宋" w:eastAsia="仿宋" w:cs="仿宋"/>
                <w:color w:val="000000"/>
                <w:kern w:val="0"/>
                <w:sz w:val="24"/>
              </w:rPr>
              <w:t>手机号</w:t>
            </w:r>
          </w:p>
        </w:tc>
        <w:tc>
          <w:tcPr>
            <w:tcW w:w="7751" w:type="dxa"/>
            <w:vAlign w:val="center"/>
          </w:tcPr>
          <w:p>
            <w:pPr>
              <w:widowControl/>
              <w:spacing w:line="360" w:lineRule="auto"/>
              <w:jc w:val="left"/>
              <w:rPr>
                <w:rFonts w:ascii="仿宋" w:hAnsi="仿宋" w:eastAsia="仿宋" w:cs="仿宋"/>
                <w:color w:val="000000"/>
                <w:kern w:val="0"/>
                <w:sz w:val="24"/>
                <w:lang w:bidi="ar"/>
              </w:rPr>
            </w:pPr>
            <w:r>
              <w:rPr>
                <w:rFonts w:hint="eastAsia" w:ascii="仿宋" w:hAnsi="仿宋" w:eastAsia="仿宋" w:cs="仿宋"/>
                <w:color w:val="000000"/>
                <w:kern w:val="0"/>
                <w:sz w:val="24"/>
              </w:rPr>
              <w:t>显示前</w:t>
            </w:r>
            <w:r>
              <w:rPr>
                <w:rFonts w:ascii="仿宋" w:hAnsi="仿宋" w:eastAsia="仿宋" w:cs="仿宋"/>
                <w:color w:val="000000"/>
                <w:kern w:val="0"/>
                <w:sz w:val="24"/>
              </w:rPr>
              <w:t>3位和后4位，中间隐藏。如：139****1097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35" w:type="dxa"/>
            <w:vAlign w:val="center"/>
          </w:tcPr>
          <w:p>
            <w:pPr>
              <w:widowControl/>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固定电话号码</w:t>
            </w:r>
          </w:p>
        </w:tc>
        <w:tc>
          <w:tcPr>
            <w:tcW w:w="7751" w:type="dxa"/>
            <w:vAlign w:val="center"/>
          </w:tcPr>
          <w:p>
            <w:pPr>
              <w:widowControl/>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显示前</w:t>
            </w:r>
            <w:r>
              <w:rPr>
                <w:rFonts w:ascii="仿宋" w:hAnsi="仿宋" w:eastAsia="仿宋" w:cs="仿宋"/>
                <w:color w:val="000000"/>
                <w:kern w:val="0"/>
                <w:sz w:val="24"/>
              </w:rPr>
              <w:t>3位和后4位，中间隐藏。如：010****1097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35" w:type="dxa"/>
            <w:vAlign w:val="center"/>
          </w:tcPr>
          <w:p>
            <w:pPr>
              <w:widowControl/>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邮箱</w:t>
            </w:r>
          </w:p>
        </w:tc>
        <w:tc>
          <w:tcPr>
            <w:tcW w:w="7751" w:type="dxa"/>
            <w:vAlign w:val="center"/>
          </w:tcPr>
          <w:p>
            <w:pPr>
              <w:widowControl/>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显示邮箱前缀前</w:t>
            </w:r>
            <w:r>
              <w:rPr>
                <w:rFonts w:ascii="仿宋" w:hAnsi="仿宋" w:eastAsia="仿宋" w:cs="仿宋"/>
                <w:color w:val="000000"/>
                <w:kern w:val="0"/>
                <w:sz w:val="24"/>
              </w:rPr>
              <w:t>3个字符，其余部分隐藏。如：wei*****@qq.com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35" w:type="dxa"/>
            <w:vAlign w:val="center"/>
          </w:tcPr>
          <w:p>
            <w:pPr>
              <w:widowControl/>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证件号码</w:t>
            </w:r>
          </w:p>
        </w:tc>
        <w:tc>
          <w:tcPr>
            <w:tcW w:w="7751" w:type="dxa"/>
            <w:vAlign w:val="center"/>
          </w:tcPr>
          <w:p>
            <w:pPr>
              <w:widowControl/>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身份证号：显示前</w:t>
            </w:r>
            <w:r>
              <w:rPr>
                <w:rFonts w:ascii="仿宋" w:hAnsi="仿宋" w:eastAsia="仿宋" w:cs="仿宋"/>
                <w:color w:val="000000"/>
                <w:kern w:val="0"/>
                <w:sz w:val="24"/>
              </w:rPr>
              <w:t xml:space="preserve"> 5位＋ *（实际位数）＋后 3 </w:t>
            </w:r>
            <w:r>
              <w:rPr>
                <w:rFonts w:hint="eastAsia" w:ascii="仿宋" w:hAnsi="仿宋" w:eastAsia="仿宋" w:cs="仿宋"/>
                <w:color w:val="000000"/>
                <w:kern w:val="0"/>
                <w:sz w:val="24"/>
              </w:rPr>
              <w:t>位，如：</w:t>
            </w:r>
            <w:r>
              <w:rPr>
                <w:rFonts w:ascii="仿宋" w:hAnsi="仿宋" w:eastAsia="仿宋" w:cs="仿宋"/>
                <w:color w:val="000000"/>
                <w:kern w:val="0"/>
                <w:sz w:val="24"/>
              </w:rPr>
              <w:t>11010**********25X</w:t>
            </w:r>
            <w:r>
              <w:rPr>
                <w:rFonts w:ascii="仿宋" w:hAnsi="仿宋" w:eastAsia="仿宋" w:cs="仿宋"/>
                <w:color w:val="000000"/>
                <w:kern w:val="0"/>
                <w:sz w:val="24"/>
              </w:rPr>
              <w:br w:type="textWrapping"/>
            </w:r>
            <w:r>
              <w:rPr>
                <w:rFonts w:hint="eastAsia" w:ascii="仿宋" w:hAnsi="仿宋" w:eastAsia="仿宋" w:cs="仿宋"/>
                <w:color w:val="000000"/>
                <w:kern w:val="0"/>
                <w:sz w:val="24"/>
              </w:rPr>
              <w:t>其他证件：显示前</w:t>
            </w:r>
            <w:r>
              <w:rPr>
                <w:rFonts w:ascii="仿宋" w:hAnsi="仿宋" w:eastAsia="仿宋" w:cs="仿宋"/>
                <w:color w:val="000000"/>
                <w:kern w:val="0"/>
                <w:sz w:val="24"/>
              </w:rPr>
              <w:t>4位，其余隐藏。如：2384**********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35" w:type="dxa"/>
            <w:vAlign w:val="center"/>
          </w:tcPr>
          <w:p>
            <w:pPr>
              <w:widowControl/>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银行卡号</w:t>
            </w:r>
          </w:p>
        </w:tc>
        <w:tc>
          <w:tcPr>
            <w:tcW w:w="7751" w:type="dxa"/>
            <w:vAlign w:val="center"/>
          </w:tcPr>
          <w:p>
            <w:pPr>
              <w:keepNext/>
              <w:widowControl/>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显示前</w:t>
            </w:r>
            <w:r>
              <w:rPr>
                <w:rFonts w:ascii="仿宋" w:hAnsi="仿宋" w:eastAsia="仿宋" w:cs="仿宋"/>
                <w:color w:val="000000"/>
                <w:kern w:val="0"/>
                <w:sz w:val="24"/>
              </w:rPr>
              <w:t>4位和后4位，中间隐藏。如：6226********1097</w:t>
            </w:r>
          </w:p>
        </w:tc>
      </w:tr>
    </w:tbl>
    <w:p>
      <w:pPr>
        <w:pStyle w:val="7"/>
        <w:jc w:val="center"/>
        <w:rPr>
          <w:rFonts w:ascii="仿宋" w:hAnsi="仿宋" w:eastAsia="仿宋" w:cs="仿宋"/>
          <w:sz w:val="21"/>
          <w:szCs w:val="21"/>
        </w:rPr>
      </w:pPr>
      <w:r>
        <w:rPr>
          <w:rFonts w:hint="eastAsia" w:ascii="仿宋" w:hAnsi="仿宋" w:eastAsia="仿宋" w:cs="仿宋"/>
          <w:sz w:val="21"/>
          <w:szCs w:val="21"/>
        </w:rPr>
        <w:t xml:space="preserve">表 </w:t>
      </w:r>
      <w:r>
        <w:rPr>
          <w:rFonts w:ascii="仿宋" w:hAnsi="仿宋" w:eastAsia="仿宋" w:cs="仿宋"/>
          <w:sz w:val="21"/>
          <w:szCs w:val="21"/>
        </w:rPr>
        <w:fldChar w:fldCharType="begin"/>
      </w:r>
      <w:r>
        <w:rPr>
          <w:rFonts w:ascii="仿宋" w:hAnsi="仿宋" w:eastAsia="仿宋" w:cs="仿宋"/>
          <w:sz w:val="21"/>
          <w:szCs w:val="21"/>
        </w:rPr>
        <w:instrText xml:space="preserve"> </w:instrText>
      </w:r>
      <w:r>
        <w:rPr>
          <w:rFonts w:hint="eastAsia" w:ascii="仿宋" w:hAnsi="仿宋" w:eastAsia="仿宋" w:cs="仿宋"/>
          <w:sz w:val="21"/>
          <w:szCs w:val="21"/>
        </w:rPr>
        <w:instrText xml:space="preserve">SEQ 表 \* ARABIC</w:instrText>
      </w:r>
      <w:r>
        <w:rPr>
          <w:rFonts w:ascii="仿宋" w:hAnsi="仿宋" w:eastAsia="仿宋" w:cs="仿宋"/>
          <w:sz w:val="21"/>
          <w:szCs w:val="21"/>
        </w:rPr>
        <w:instrText xml:space="preserve"> </w:instrText>
      </w:r>
      <w:r>
        <w:rPr>
          <w:rFonts w:ascii="仿宋" w:hAnsi="仿宋" w:eastAsia="仿宋" w:cs="仿宋"/>
          <w:sz w:val="21"/>
          <w:szCs w:val="21"/>
        </w:rPr>
        <w:fldChar w:fldCharType="separate"/>
      </w:r>
      <w:r>
        <w:rPr>
          <w:rFonts w:ascii="仿宋" w:hAnsi="仿宋" w:eastAsia="仿宋" w:cs="仿宋"/>
          <w:sz w:val="21"/>
          <w:szCs w:val="21"/>
        </w:rPr>
        <w:t>5</w:t>
      </w:r>
      <w:r>
        <w:rPr>
          <w:rFonts w:ascii="仿宋" w:hAnsi="仿宋" w:eastAsia="仿宋" w:cs="仿宋"/>
          <w:sz w:val="21"/>
          <w:szCs w:val="21"/>
        </w:rPr>
        <w:fldChar w:fldCharType="end"/>
      </w:r>
      <w:r>
        <w:rPr>
          <w:rFonts w:ascii="仿宋" w:hAnsi="仿宋" w:eastAsia="仿宋" w:cs="仿宋"/>
          <w:sz w:val="21"/>
          <w:szCs w:val="21"/>
        </w:rPr>
        <w:t xml:space="preserve"> </w:t>
      </w:r>
      <w:r>
        <w:rPr>
          <w:rFonts w:hint="eastAsia" w:ascii="仿宋" w:hAnsi="仿宋" w:eastAsia="仿宋" w:cs="仿宋"/>
          <w:sz w:val="21"/>
          <w:szCs w:val="21"/>
        </w:rPr>
        <w:t>通用脱敏规则表</w:t>
      </w:r>
    </w:p>
    <w:p>
      <w:pPr>
        <w:pStyle w:val="36"/>
        <w:spacing w:line="360" w:lineRule="auto"/>
        <w:ind w:left="1200" w:firstLine="0" w:firstLineChars="0"/>
        <w:rPr>
          <w:rFonts w:ascii="仿宋" w:hAnsi="仿宋" w:eastAsia="仿宋" w:cs="仿宋"/>
          <w:color w:val="000000"/>
          <w:kern w:val="0"/>
          <w:sz w:val="24"/>
          <w:lang w:bidi="ar"/>
        </w:rPr>
      </w:pPr>
    </w:p>
    <w:p>
      <w:pPr>
        <w:numPr>
          <w:ilvl w:val="2"/>
          <w:numId w:val="47"/>
        </w:numPr>
        <w:spacing w:line="360" w:lineRule="auto"/>
        <w:ind w:left="1134"/>
        <w:rPr>
          <w:rFonts w:ascii="仿宋" w:hAnsi="仿宋" w:eastAsia="仿宋" w:cs="仿宋"/>
          <w:sz w:val="24"/>
        </w:rPr>
      </w:pPr>
      <w:r>
        <w:rPr>
          <w:rFonts w:hint="eastAsia" w:ascii="仿宋" w:hAnsi="仿宋" w:eastAsia="仿宋" w:cs="仿宋"/>
          <w:sz w:val="24"/>
        </w:rPr>
        <w:t xml:space="preserve">数据水印安全要求 </w:t>
      </w:r>
    </w:p>
    <w:p>
      <w:pPr>
        <w:pStyle w:val="36"/>
        <w:numPr>
          <w:ilvl w:val="0"/>
          <w:numId w:val="5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内部应用系统，如客服等面向员工的系统，页面应具备自动添加水印功能识别用户信息，如包含用户名或编号。</w:t>
      </w:r>
      <w:r>
        <w:rPr>
          <w:rFonts w:ascii="仿宋" w:hAnsi="仿宋" w:eastAsia="仿宋" w:cs="仿宋"/>
          <w:color w:val="000000"/>
          <w:kern w:val="0"/>
          <w:sz w:val="24"/>
          <w:lang w:bidi="ar"/>
        </w:rPr>
        <w:t xml:space="preserve"> </w:t>
      </w:r>
    </w:p>
    <w:p>
      <w:pPr>
        <w:pStyle w:val="36"/>
        <w:numPr>
          <w:ilvl w:val="0"/>
          <w:numId w:val="5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从内部应用系统中截图、下载、打印的网页或数据文档，应自动添加水印。</w:t>
      </w:r>
      <w:r>
        <w:rPr>
          <w:rFonts w:ascii="仿宋" w:hAnsi="仿宋" w:eastAsia="仿宋" w:cs="仿宋"/>
          <w:color w:val="000000"/>
          <w:kern w:val="0"/>
          <w:sz w:val="24"/>
          <w:lang w:bidi="ar"/>
        </w:rPr>
        <w:t xml:space="preserve"> </w:t>
      </w:r>
    </w:p>
    <w:p>
      <w:pPr>
        <w:numPr>
          <w:ilvl w:val="2"/>
          <w:numId w:val="47"/>
        </w:numPr>
        <w:spacing w:line="360" w:lineRule="auto"/>
        <w:ind w:left="1134"/>
        <w:rPr>
          <w:rFonts w:ascii="仿宋" w:hAnsi="仿宋" w:eastAsia="仿宋" w:cs="仿宋"/>
          <w:sz w:val="24"/>
        </w:rPr>
      </w:pPr>
      <w:r>
        <w:rPr>
          <w:rFonts w:ascii="仿宋" w:hAnsi="仿宋" w:eastAsia="仿宋" w:cs="仿宋"/>
          <w:sz w:val="24"/>
        </w:rPr>
        <w:t>自动化决策处理的使用安全要求</w:t>
      </w:r>
    </w:p>
    <w:p>
      <w:pPr>
        <w:pStyle w:val="36"/>
        <w:numPr>
          <w:ilvl w:val="0"/>
          <w:numId w:val="5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针对</w:t>
      </w:r>
      <w:r>
        <w:rPr>
          <w:rFonts w:ascii="仿宋" w:hAnsi="仿宋" w:eastAsia="仿宋" w:cs="仿宋"/>
          <w:color w:val="000000"/>
          <w:kern w:val="0"/>
          <w:sz w:val="24"/>
          <w:lang w:bidi="ar"/>
        </w:rPr>
        <w:t>公司具有自动化决策</w:t>
      </w:r>
      <w:r>
        <w:rPr>
          <w:rFonts w:hint="eastAsia" w:ascii="仿宋" w:hAnsi="仿宋" w:eastAsia="仿宋" w:cs="仿宋"/>
          <w:color w:val="000000"/>
          <w:kern w:val="0"/>
          <w:sz w:val="24"/>
          <w:lang w:bidi="ar"/>
        </w:rPr>
        <w:t>处理</w:t>
      </w:r>
      <w:r>
        <w:rPr>
          <w:rFonts w:ascii="仿宋" w:hAnsi="仿宋" w:eastAsia="仿宋" w:cs="仿宋"/>
          <w:color w:val="000000"/>
          <w:kern w:val="0"/>
          <w:sz w:val="24"/>
          <w:lang w:bidi="ar"/>
        </w:rPr>
        <w:t>的产品或服务</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应严格遵守合法</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正当</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必要</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诚信</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最小化</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公开透明等处理原则</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不能滥用个人信息</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不能滥用算法</w:t>
      </w:r>
      <w:r>
        <w:rPr>
          <w:rFonts w:hint="eastAsia" w:ascii="仿宋" w:hAnsi="仿宋" w:eastAsia="仿宋" w:cs="仿宋"/>
          <w:color w:val="000000"/>
          <w:kern w:val="0"/>
          <w:sz w:val="24"/>
          <w:lang w:bidi="ar"/>
        </w:rPr>
        <w:t>，禁止“大数据杀熟”，保证自动化决策的透明和结果公平、公正。</w:t>
      </w:r>
    </w:p>
    <w:p>
      <w:pPr>
        <w:pStyle w:val="36"/>
        <w:numPr>
          <w:ilvl w:val="0"/>
          <w:numId w:val="51"/>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公司具备自动化决策</w:t>
      </w:r>
      <w:r>
        <w:rPr>
          <w:rFonts w:hint="eastAsia" w:ascii="仿宋" w:hAnsi="仿宋" w:eastAsia="仿宋" w:cs="仿宋"/>
          <w:color w:val="000000"/>
          <w:kern w:val="0"/>
          <w:sz w:val="24"/>
          <w:lang w:bidi="ar"/>
        </w:rPr>
        <w:t>处理</w:t>
      </w:r>
      <w:r>
        <w:rPr>
          <w:rFonts w:ascii="仿宋" w:hAnsi="仿宋" w:eastAsia="仿宋" w:cs="仿宋"/>
          <w:color w:val="000000"/>
          <w:kern w:val="0"/>
          <w:sz w:val="24"/>
          <w:lang w:bidi="ar"/>
        </w:rPr>
        <w:t>的产品或服务</w:t>
      </w:r>
      <w:r>
        <w:rPr>
          <w:rFonts w:hint="eastAsia" w:ascii="仿宋" w:hAnsi="仿宋" w:eastAsia="仿宋" w:cs="仿宋"/>
          <w:color w:val="000000"/>
          <w:kern w:val="0"/>
          <w:sz w:val="24"/>
          <w:lang w:bidi="ar"/>
        </w:rPr>
        <w:t>，禁止通过大数据技术根据用户的个人特征（如学生的学习偏好、学习习惯等）推送特定的商品或服务，或为了“获客”“拉新”针对新人或特殊群体，推行损害其消费合法权益的优惠营销策略。</w:t>
      </w:r>
    </w:p>
    <w:p>
      <w:pPr>
        <w:pStyle w:val="36"/>
        <w:numPr>
          <w:ilvl w:val="0"/>
          <w:numId w:val="5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通过自动化决策方式向个人进行信息推送、商业营销，应当同时提供不针对其个人特征（如性格、购买习惯、经济状况等）的选项，或者向用户提供便捷的拒绝方式。</w:t>
      </w:r>
    </w:p>
    <w:p>
      <w:pPr>
        <w:pStyle w:val="36"/>
        <w:numPr>
          <w:ilvl w:val="0"/>
          <w:numId w:val="51"/>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在自动化技术规划设计</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正式使用前</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应开展个人信息安全影响评估，</w:t>
      </w:r>
      <w:r>
        <w:rPr>
          <w:rFonts w:hint="eastAsia" w:ascii="仿宋" w:hAnsi="仿宋" w:eastAsia="仿宋" w:cs="仿宋"/>
          <w:color w:val="000000"/>
          <w:kern w:val="0"/>
          <w:sz w:val="24"/>
          <w:lang w:bidi="ar"/>
        </w:rPr>
        <w:t>并依据结果采取有效的保护个人信息主体的措施。</w:t>
      </w:r>
    </w:p>
    <w:p>
      <w:pPr>
        <w:pStyle w:val="36"/>
        <w:numPr>
          <w:ilvl w:val="0"/>
          <w:numId w:val="5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应对正式上线具备自动化决策机制的信息系统，定期开展个人信息安全影响评估，并依据评估结果改进保护用户个人的安全防护措施。</w:t>
      </w:r>
    </w:p>
    <w:p>
      <w:pPr>
        <w:pStyle w:val="36"/>
        <w:numPr>
          <w:ilvl w:val="0"/>
          <w:numId w:val="51"/>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应向用户提供针对自动决策结果的投诉渠道</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并支持对自动化决策结果的人工复核</w:t>
      </w:r>
      <w:r>
        <w:rPr>
          <w:rFonts w:hint="eastAsia" w:ascii="仿宋" w:hAnsi="仿宋" w:eastAsia="仿宋" w:cs="仿宋"/>
          <w:color w:val="000000"/>
          <w:kern w:val="0"/>
          <w:sz w:val="24"/>
          <w:lang w:bidi="ar"/>
        </w:rPr>
        <w:t>。</w:t>
      </w:r>
    </w:p>
    <w:p>
      <w:pPr>
        <w:pStyle w:val="28"/>
        <w:ind w:left="0"/>
        <w:rPr>
          <w:rFonts w:ascii="仿宋" w:hAnsi="仿宋" w:cs="仿宋"/>
          <w:sz w:val="24"/>
        </w:rPr>
      </w:pPr>
      <w:r>
        <w:rPr>
          <w:rFonts w:hint="eastAsia" w:ascii="仿宋" w:hAnsi="仿宋" w:cs="仿宋"/>
          <w:sz w:val="24"/>
        </w:rPr>
        <w:t xml:space="preserve"> 数据传输安全</w:t>
      </w:r>
    </w:p>
    <w:p>
      <w:pPr>
        <w:widowControl/>
        <w:spacing w:line="360" w:lineRule="auto"/>
        <w:ind w:firstLine="480" w:firstLineChars="200"/>
        <w:rPr>
          <w:rFonts w:ascii="仿宋" w:hAnsi="仿宋" w:eastAsia="仿宋" w:cs="仿宋"/>
          <w:color w:val="000000"/>
          <w:kern w:val="0"/>
          <w:sz w:val="24"/>
          <w:lang w:bidi="ar"/>
        </w:rPr>
      </w:pPr>
      <w:r>
        <w:rPr>
          <w:rFonts w:ascii="仿宋" w:hAnsi="仿宋" w:eastAsia="仿宋" w:cs="仿宋"/>
          <w:color w:val="000000"/>
          <w:kern w:val="0"/>
          <w:sz w:val="24"/>
          <w:lang w:bidi="ar"/>
        </w:rPr>
        <w:t>根据公司内部和外部的数据传输要求</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采取适当的加密保护措施</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保证传输通道</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传输节点和传输数据的安全</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防止传输过程中的数据泄露</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篡改</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丢失</w:t>
      </w:r>
      <w:r>
        <w:rPr>
          <w:rFonts w:hint="eastAsia" w:ascii="仿宋" w:hAnsi="仿宋" w:eastAsia="仿宋" w:cs="仿宋"/>
          <w:color w:val="000000"/>
          <w:kern w:val="0"/>
          <w:sz w:val="24"/>
          <w:lang w:bidi="ar"/>
        </w:rPr>
        <w:t>。</w:t>
      </w:r>
    </w:p>
    <w:p>
      <w:pPr>
        <w:numPr>
          <w:ilvl w:val="2"/>
          <w:numId w:val="52"/>
        </w:numPr>
        <w:spacing w:line="360" w:lineRule="auto"/>
        <w:rPr>
          <w:rFonts w:ascii="仿宋" w:hAnsi="仿宋" w:eastAsia="仿宋" w:cs="仿宋"/>
          <w:sz w:val="24"/>
        </w:rPr>
      </w:pPr>
      <w:r>
        <w:rPr>
          <w:rFonts w:hint="eastAsia" w:ascii="仿宋" w:hAnsi="仿宋" w:eastAsia="仿宋" w:cs="仿宋"/>
          <w:sz w:val="24"/>
        </w:rPr>
        <w:t xml:space="preserve"> “敏感数据”在传输时，必须遵守以下安全要求： </w:t>
      </w:r>
    </w:p>
    <w:p>
      <w:pPr>
        <w:pStyle w:val="36"/>
        <w:numPr>
          <w:ilvl w:val="0"/>
          <w:numId w:val="5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敏感数据通过网络传输过程中应使用公司认可的加密传输协议，如</w:t>
      </w:r>
      <w:r>
        <w:rPr>
          <w:rFonts w:ascii="仿宋" w:hAnsi="仿宋" w:eastAsia="仿宋" w:cs="仿宋"/>
          <w:color w:val="000000"/>
          <w:kern w:val="0"/>
          <w:sz w:val="24"/>
          <w:lang w:bidi="ar"/>
        </w:rPr>
        <w:t xml:space="preserve"> HTTPS </w:t>
      </w:r>
      <w:r>
        <w:rPr>
          <w:rFonts w:hint="eastAsia" w:ascii="仿宋" w:hAnsi="仿宋" w:eastAsia="仿宋" w:cs="仿宋"/>
          <w:color w:val="000000"/>
          <w:kern w:val="0"/>
          <w:sz w:val="24"/>
          <w:lang w:bidi="ar"/>
        </w:rPr>
        <w:t>加密传输方式，使用数字签名保证数据在传输过程中的一致性和不可否认性。使用的加密算法和签名技术应符合国家相关法律法规要求。</w:t>
      </w:r>
    </w:p>
    <w:p>
      <w:pPr>
        <w:pStyle w:val="36"/>
        <w:numPr>
          <w:ilvl w:val="0"/>
          <w:numId w:val="5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应选择安全的加密协议和加密套件</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禁用过期的协议和算法</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如</w:t>
      </w:r>
      <w:r>
        <w:rPr>
          <w:rFonts w:ascii="仿宋" w:hAnsi="仿宋" w:eastAsia="仿宋" w:cs="仿宋"/>
          <w:color w:val="000000"/>
          <w:kern w:val="0"/>
          <w:sz w:val="24"/>
          <w:lang w:bidi="ar"/>
        </w:rPr>
        <w:t>SSLv3、RC4、DES等。</w:t>
      </w:r>
    </w:p>
    <w:p>
      <w:pPr>
        <w:pStyle w:val="36"/>
        <w:numPr>
          <w:ilvl w:val="0"/>
          <w:numId w:val="5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推荐在应用层进行二次加密或</w:t>
      </w:r>
      <w:r>
        <w:rPr>
          <w:rFonts w:ascii="仿宋" w:hAnsi="仿宋" w:eastAsia="仿宋" w:cs="仿宋"/>
          <w:color w:val="000000"/>
          <w:kern w:val="0"/>
          <w:sz w:val="24"/>
          <w:lang w:bidi="ar"/>
        </w:rPr>
        <w:t>HASH，</w:t>
      </w:r>
      <w:r>
        <w:rPr>
          <w:rFonts w:hint="eastAsia" w:ascii="仿宋" w:hAnsi="仿宋" w:eastAsia="仿宋" w:cs="仿宋"/>
          <w:color w:val="000000"/>
          <w:kern w:val="0"/>
          <w:sz w:val="24"/>
          <w:lang w:bidi="ar"/>
        </w:rPr>
        <w:t>如用户登录接口传输</w:t>
      </w:r>
      <w:r>
        <w:rPr>
          <w:rFonts w:ascii="仿宋" w:hAnsi="仿宋" w:eastAsia="仿宋" w:cs="仿宋"/>
          <w:color w:val="000000"/>
          <w:kern w:val="0"/>
          <w:sz w:val="24"/>
          <w:lang w:bidi="ar"/>
        </w:rPr>
        <w:t>HASH后的password字段。</w:t>
      </w:r>
    </w:p>
    <w:p>
      <w:pPr>
        <w:pStyle w:val="36"/>
        <w:numPr>
          <w:ilvl w:val="0"/>
          <w:numId w:val="5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通过邮件发送“敏感数据”时，必须进行加密，并通过其他方式（如短信、电话）约定解密密钥。</w:t>
      </w:r>
      <w:r>
        <w:rPr>
          <w:rFonts w:ascii="仿宋" w:hAnsi="仿宋" w:eastAsia="仿宋" w:cs="仿宋"/>
          <w:color w:val="000000"/>
          <w:kern w:val="0"/>
          <w:sz w:val="24"/>
          <w:lang w:bidi="ar"/>
        </w:rPr>
        <w:t xml:space="preserve"> </w:t>
      </w:r>
    </w:p>
    <w:p>
      <w:pPr>
        <w:pStyle w:val="36"/>
        <w:numPr>
          <w:ilvl w:val="0"/>
          <w:numId w:val="5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使用</w:t>
      </w:r>
      <w:r>
        <w:rPr>
          <w:rFonts w:ascii="仿宋" w:hAnsi="仿宋" w:eastAsia="仿宋" w:cs="仿宋"/>
          <w:color w:val="000000"/>
          <w:kern w:val="0"/>
          <w:sz w:val="24"/>
          <w:lang w:bidi="ar"/>
        </w:rPr>
        <w:t xml:space="preserve"> U 盘或其他移动介质传输“敏感数据”时，需要对文件进行加密。 </w:t>
      </w:r>
    </w:p>
    <w:p>
      <w:pPr>
        <w:pStyle w:val="36"/>
        <w:numPr>
          <w:ilvl w:val="0"/>
          <w:numId w:val="53"/>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禁止通过任何外部即时聊天工具、外部第三方存储设（如网盘、云盘）等传送公司敏感数据。</w:t>
      </w:r>
      <w:r>
        <w:rPr>
          <w:rFonts w:ascii="仿宋" w:hAnsi="仿宋" w:eastAsia="仿宋" w:cs="仿宋"/>
          <w:color w:val="000000"/>
          <w:kern w:val="0"/>
          <w:sz w:val="24"/>
          <w:lang w:bidi="ar"/>
        </w:rPr>
        <w:t xml:space="preserve"> </w:t>
      </w:r>
    </w:p>
    <w:p>
      <w:pPr>
        <w:widowControl/>
        <w:spacing w:line="360" w:lineRule="auto"/>
        <w:jc w:val="center"/>
        <w:rPr>
          <w:rFonts w:ascii="仿宋" w:hAnsi="仿宋" w:eastAsia="仿宋" w:cs="仿宋"/>
          <w:b/>
          <w:bCs/>
          <w:color w:val="000000"/>
          <w:kern w:val="0"/>
          <w:sz w:val="24"/>
          <w:lang w:bidi="ar"/>
        </w:rPr>
      </w:pPr>
    </w:p>
    <w:p>
      <w:pPr>
        <w:pStyle w:val="28"/>
        <w:ind w:left="0"/>
        <w:rPr>
          <w:rFonts w:ascii="仿宋" w:hAnsi="仿宋" w:cs="仿宋"/>
          <w:sz w:val="24"/>
        </w:rPr>
      </w:pPr>
      <w:r>
        <w:rPr>
          <w:rFonts w:hint="eastAsia" w:ascii="仿宋" w:hAnsi="仿宋" w:cs="仿宋"/>
          <w:sz w:val="24"/>
        </w:rPr>
        <w:t xml:space="preserve"> 数据交换（共享）安全</w:t>
      </w:r>
    </w:p>
    <w:p>
      <w:pPr>
        <w:numPr>
          <w:ilvl w:val="2"/>
          <w:numId w:val="54"/>
        </w:numPr>
        <w:spacing w:line="360" w:lineRule="auto"/>
        <w:rPr>
          <w:rFonts w:ascii="仿宋" w:hAnsi="仿宋" w:eastAsia="仿宋" w:cs="仿宋"/>
          <w:sz w:val="24"/>
        </w:rPr>
      </w:pPr>
      <w:r>
        <w:rPr>
          <w:rFonts w:hint="eastAsia" w:ascii="仿宋" w:hAnsi="仿宋" w:eastAsia="仿宋" w:cs="仿宋"/>
          <w:sz w:val="24"/>
        </w:rPr>
        <w:t xml:space="preserve">数据交换安全要求 </w:t>
      </w:r>
    </w:p>
    <w:p>
      <w:pPr>
        <w:pStyle w:val="36"/>
        <w:numPr>
          <w:ilvl w:val="0"/>
          <w:numId w:val="55"/>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敏感数据在对外部合作方、内部跨部门提供前必须进行审批，并提请安全部开展数据安全评估，审批流程参考本制度中《数据安全管理流程》，安全部评估合作数据范围、字段、数据保护方式是否符合安全要求。</w:t>
      </w:r>
    </w:p>
    <w:p>
      <w:pPr>
        <w:pStyle w:val="36"/>
        <w:numPr>
          <w:ilvl w:val="0"/>
          <w:numId w:val="55"/>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外部系统之间数据接口的调用应能够提供</w:t>
      </w:r>
      <w:r>
        <w:rPr>
          <w:rFonts w:ascii="仿宋" w:hAnsi="仿宋" w:eastAsia="仿宋" w:cs="仿宋"/>
          <w:color w:val="000000"/>
          <w:kern w:val="0"/>
          <w:sz w:val="24"/>
          <w:lang w:bidi="ar"/>
        </w:rPr>
        <w:t xml:space="preserve"> token授权、签名、时间戳超时等机制，防止接口数据被篡改或重复调用。 </w:t>
      </w:r>
    </w:p>
    <w:p>
      <w:pPr>
        <w:pStyle w:val="36"/>
        <w:numPr>
          <w:ilvl w:val="0"/>
          <w:numId w:val="55"/>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应限制接口调用的次数和频次，防止大量访问以及大量占用资源的情况，保证系统的可用性。</w:t>
      </w:r>
      <w:r>
        <w:rPr>
          <w:rFonts w:ascii="仿宋" w:hAnsi="仿宋" w:eastAsia="仿宋" w:cs="仿宋"/>
          <w:color w:val="000000"/>
          <w:kern w:val="0"/>
          <w:sz w:val="24"/>
          <w:lang w:bidi="ar"/>
        </w:rPr>
        <w:t xml:space="preserve"> </w:t>
      </w:r>
    </w:p>
    <w:p>
      <w:pPr>
        <w:pStyle w:val="36"/>
        <w:numPr>
          <w:ilvl w:val="0"/>
          <w:numId w:val="55"/>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应实现对接口的运行情况实时监控及报警，及时发现数据传输错误或异常。</w:t>
      </w:r>
      <w:r>
        <w:rPr>
          <w:rFonts w:ascii="仿宋" w:hAnsi="仿宋" w:eastAsia="仿宋" w:cs="仿宋"/>
          <w:color w:val="000000"/>
          <w:kern w:val="0"/>
          <w:sz w:val="24"/>
          <w:lang w:bidi="ar"/>
        </w:rPr>
        <w:t xml:space="preserve"> </w:t>
      </w:r>
    </w:p>
    <w:p>
      <w:pPr>
        <w:pStyle w:val="36"/>
        <w:numPr>
          <w:ilvl w:val="0"/>
          <w:numId w:val="55"/>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提供的数据遵循最小必要原则，敏感数据应进行加密、脱敏等方式处理后提供。</w:t>
      </w:r>
    </w:p>
    <w:p>
      <w:pPr>
        <w:pStyle w:val="36"/>
        <w:numPr>
          <w:ilvl w:val="0"/>
          <w:numId w:val="55"/>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未经用户授权同意不得将用户留存在的注册信息泄露给第三方合作方</w:t>
      </w:r>
      <w:r>
        <w:rPr>
          <w:rFonts w:hint="eastAsia" w:ascii="仿宋" w:hAnsi="仿宋" w:eastAsia="仿宋" w:cs="仿宋"/>
          <w:color w:val="000000"/>
          <w:kern w:val="0"/>
          <w:sz w:val="24"/>
          <w:lang w:bidi="ar"/>
        </w:rPr>
        <w:t>。但是，经过处理无法识别特定个人且无法复原的除外。</w:t>
      </w:r>
      <w:r>
        <w:rPr>
          <w:rFonts w:ascii="仿宋" w:hAnsi="仿宋" w:eastAsia="仿宋" w:cs="仿宋"/>
          <w:color w:val="000000"/>
          <w:kern w:val="0"/>
          <w:sz w:val="24"/>
          <w:lang w:bidi="ar"/>
        </w:rPr>
        <w:t xml:space="preserve"> </w:t>
      </w:r>
    </w:p>
    <w:p>
      <w:pPr>
        <w:numPr>
          <w:ilvl w:val="2"/>
          <w:numId w:val="54"/>
        </w:numPr>
        <w:spacing w:line="360" w:lineRule="auto"/>
        <w:rPr>
          <w:rFonts w:ascii="仿宋" w:hAnsi="仿宋" w:eastAsia="仿宋" w:cs="仿宋"/>
          <w:sz w:val="24"/>
        </w:rPr>
      </w:pPr>
      <w:r>
        <w:rPr>
          <w:rFonts w:hint="eastAsia" w:ascii="仿宋" w:hAnsi="仿宋" w:eastAsia="仿宋" w:cs="仿宋"/>
          <w:sz w:val="24"/>
        </w:rPr>
        <w:t xml:space="preserve">数据交换安全协议 </w:t>
      </w:r>
    </w:p>
    <w:p>
      <w:pPr>
        <w:pStyle w:val="36"/>
        <w:numPr>
          <w:ilvl w:val="0"/>
          <w:numId w:val="5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严格遵循《网络安全法》的要求，制定对外数据共享和披露细则，明确所有对外数据共享和披露必须保护用户隐私。涉及到用户个人信息，未经用户授权，不得向第三方提供。</w:t>
      </w:r>
      <w:r>
        <w:rPr>
          <w:rFonts w:ascii="仿宋" w:hAnsi="仿宋" w:eastAsia="仿宋" w:cs="仿宋"/>
          <w:color w:val="000000"/>
          <w:kern w:val="0"/>
          <w:sz w:val="24"/>
          <w:lang w:bidi="ar"/>
        </w:rPr>
        <w:t xml:space="preserve"> </w:t>
      </w:r>
    </w:p>
    <w:p>
      <w:pPr>
        <w:pStyle w:val="36"/>
        <w:numPr>
          <w:ilvl w:val="0"/>
          <w:numId w:val="5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向供应商、合作伙伴等商业机构提供敏感数据，除按照本制度中《数据使用申请审批管理》中的使用申请审批流程进行审批外，还应在双方合作协议中明确数据保护的安全责任与义务，并包含违约惩罚机制。</w:t>
      </w:r>
      <w:r>
        <w:rPr>
          <w:rFonts w:ascii="仿宋" w:hAnsi="仿宋" w:eastAsia="仿宋" w:cs="仿宋"/>
          <w:color w:val="000000"/>
          <w:kern w:val="0"/>
          <w:sz w:val="24"/>
          <w:lang w:bidi="ar"/>
        </w:rPr>
        <w:t xml:space="preserve"> </w:t>
      </w:r>
    </w:p>
    <w:p>
      <w:pPr>
        <w:widowControl/>
        <w:spacing w:line="360" w:lineRule="auto"/>
        <w:jc w:val="center"/>
        <w:rPr>
          <w:rFonts w:ascii="仿宋" w:hAnsi="仿宋" w:eastAsia="仿宋" w:cs="仿宋"/>
          <w:b/>
          <w:bCs/>
          <w:color w:val="000000"/>
          <w:kern w:val="0"/>
          <w:sz w:val="24"/>
          <w:lang w:bidi="ar"/>
        </w:rPr>
      </w:pPr>
    </w:p>
    <w:p>
      <w:pPr>
        <w:pStyle w:val="28"/>
        <w:ind w:left="0"/>
        <w:rPr>
          <w:rFonts w:ascii="仿宋" w:hAnsi="仿宋" w:cs="仿宋"/>
          <w:sz w:val="24"/>
        </w:rPr>
      </w:pPr>
      <w:r>
        <w:rPr>
          <w:rFonts w:hint="eastAsia" w:ascii="仿宋" w:hAnsi="仿宋" w:cs="仿宋"/>
          <w:sz w:val="24"/>
        </w:rPr>
        <w:t xml:space="preserve"> 数据销毁安全</w:t>
      </w:r>
    </w:p>
    <w:p>
      <w:pPr>
        <w:pStyle w:val="36"/>
        <w:spacing w:line="360" w:lineRule="auto"/>
        <w:ind w:firstLine="480"/>
        <w:rPr>
          <w:rFonts w:ascii="仿宋" w:hAnsi="仿宋" w:eastAsia="仿宋" w:cs="仿宋"/>
          <w:sz w:val="24"/>
        </w:rPr>
      </w:pPr>
      <w:r>
        <w:rPr>
          <w:rFonts w:hint="eastAsia" w:ascii="仿宋" w:hAnsi="仿宋" w:eastAsia="仿宋" w:cs="仿宋"/>
          <w:sz w:val="24"/>
        </w:rPr>
        <w:t>应建立针对数据内容的清除、净化机制，实现对数据的有效销毁，防止因对存储介质上数据内容的恶意恢复而导致数据泄漏风险。</w:t>
      </w:r>
      <w:r>
        <w:rPr>
          <w:rFonts w:ascii="仿宋" w:hAnsi="仿宋" w:eastAsia="仿宋" w:cs="仿宋"/>
          <w:sz w:val="24"/>
        </w:rPr>
        <w:t xml:space="preserve"> </w:t>
      </w:r>
    </w:p>
    <w:p>
      <w:pPr>
        <w:pStyle w:val="36"/>
        <w:spacing w:line="360" w:lineRule="auto"/>
        <w:ind w:firstLine="480"/>
        <w:rPr>
          <w:rFonts w:ascii="仿宋" w:hAnsi="仿宋" w:eastAsia="仿宋" w:cs="仿宋"/>
          <w:color w:val="000000"/>
          <w:kern w:val="0"/>
          <w:sz w:val="24"/>
          <w:lang w:bidi="ar"/>
        </w:rPr>
      </w:pPr>
      <w:r>
        <w:rPr>
          <w:rFonts w:hint="eastAsia" w:ascii="仿宋" w:hAnsi="仿宋" w:eastAsia="仿宋" w:cs="仿宋"/>
          <w:sz w:val="24"/>
        </w:rPr>
        <w:t>数据销毁需遵循以下安全要求：</w:t>
      </w:r>
    </w:p>
    <w:p>
      <w:pPr>
        <w:pStyle w:val="36"/>
        <w:numPr>
          <w:ilvl w:val="0"/>
          <w:numId w:val="5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敏感数据存储介质禁止二次利用。删除敏感数据时，应对介质进行消磁或彻底格式化，并使用专用工具在存储区域填入无用信息进行覆盖，处理手段包括但不限于多次擦除并填充垃圾信息、消磁、砸毁等方式。</w:t>
      </w:r>
      <w:r>
        <w:rPr>
          <w:rFonts w:ascii="仿宋" w:hAnsi="仿宋" w:eastAsia="仿宋" w:cs="仿宋"/>
          <w:color w:val="000000"/>
          <w:kern w:val="0"/>
          <w:sz w:val="24"/>
          <w:lang w:bidi="ar"/>
        </w:rPr>
        <w:t xml:space="preserve"> </w:t>
      </w:r>
    </w:p>
    <w:p>
      <w:pPr>
        <w:pStyle w:val="36"/>
        <w:numPr>
          <w:ilvl w:val="0"/>
          <w:numId w:val="5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对敏感数据物理删除前，需由操作人员进行登记，并提交给业务数据负责人批准，所有的敏感数据清理都应记录备案。</w:t>
      </w:r>
      <w:r>
        <w:rPr>
          <w:rFonts w:ascii="仿宋" w:hAnsi="仿宋" w:eastAsia="仿宋" w:cs="仿宋"/>
          <w:color w:val="000000"/>
          <w:kern w:val="0"/>
          <w:sz w:val="24"/>
          <w:lang w:bidi="ar"/>
        </w:rPr>
        <w:t xml:space="preserve"> </w:t>
      </w:r>
    </w:p>
    <w:p>
      <w:pPr>
        <w:pStyle w:val="36"/>
        <w:numPr>
          <w:ilvl w:val="0"/>
          <w:numId w:val="5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终端设备闲置后报废后，应当对硬盘进行低格处理，方可以进行转个人或转给其他员工使用。</w:t>
      </w:r>
      <w:r>
        <w:rPr>
          <w:rFonts w:ascii="仿宋" w:hAnsi="仿宋" w:eastAsia="仿宋" w:cs="仿宋"/>
          <w:color w:val="000000"/>
          <w:kern w:val="0"/>
          <w:sz w:val="24"/>
          <w:lang w:bidi="ar"/>
        </w:rPr>
        <w:t xml:space="preserve"> </w:t>
      </w:r>
    </w:p>
    <w:p>
      <w:pPr>
        <w:pStyle w:val="36"/>
        <w:numPr>
          <w:ilvl w:val="0"/>
          <w:numId w:val="5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在数据使用期限到期之后，原则上申请人必须删除保存在本地、邮箱、服务器或共享存储空间上的数据。</w:t>
      </w:r>
      <w:r>
        <w:rPr>
          <w:rFonts w:ascii="仿宋" w:hAnsi="仿宋" w:eastAsia="仿宋" w:cs="仿宋"/>
          <w:color w:val="000000"/>
          <w:kern w:val="0"/>
          <w:sz w:val="24"/>
          <w:lang w:bidi="ar"/>
        </w:rPr>
        <w:t xml:space="preserve"> </w:t>
      </w:r>
    </w:p>
    <w:p>
      <w:pPr>
        <w:pStyle w:val="36"/>
        <w:numPr>
          <w:ilvl w:val="0"/>
          <w:numId w:val="5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涉及“敏感数据”的纸张不得暴露在公共区域，并且在不需使用时及时销毁。</w:t>
      </w:r>
      <w:r>
        <w:rPr>
          <w:rFonts w:ascii="仿宋" w:hAnsi="仿宋" w:eastAsia="仿宋" w:cs="仿宋"/>
          <w:color w:val="000000"/>
          <w:kern w:val="0"/>
          <w:sz w:val="24"/>
          <w:lang w:bidi="ar"/>
        </w:rPr>
        <w:t xml:space="preserve"> </w:t>
      </w:r>
    </w:p>
    <w:p>
      <w:pPr>
        <w:pStyle w:val="36"/>
        <w:numPr>
          <w:ilvl w:val="0"/>
          <w:numId w:val="5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涉及“敏感数据”的纸质文档销毁时，应当使用碎纸机销毁。</w:t>
      </w:r>
      <w:r>
        <w:rPr>
          <w:rFonts w:ascii="仿宋" w:hAnsi="仿宋" w:eastAsia="仿宋" w:cs="仿宋"/>
          <w:color w:val="000000"/>
          <w:kern w:val="0"/>
          <w:sz w:val="24"/>
          <w:lang w:bidi="ar"/>
        </w:rPr>
        <w:t xml:space="preserve"> </w:t>
      </w:r>
    </w:p>
    <w:p>
      <w:pPr>
        <w:pStyle w:val="36"/>
        <w:numPr>
          <w:ilvl w:val="0"/>
          <w:numId w:val="5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产品和服务应提供用户注销服务</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注销后应进行匿名化处理</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已加密的个人信息</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可以采取销毁加密密钥的方式实现个人信息的销毁</w:t>
      </w:r>
      <w:r>
        <w:rPr>
          <w:rFonts w:ascii="仿宋" w:hAnsi="仿宋" w:eastAsia="仿宋" w:cs="仿宋"/>
          <w:color w:val="000000"/>
          <w:kern w:val="0"/>
          <w:sz w:val="24"/>
          <w:lang w:bidi="ar"/>
        </w:rPr>
        <w:t xml:space="preserve">。 </w:t>
      </w:r>
    </w:p>
    <w:p>
      <w:pPr>
        <w:pStyle w:val="36"/>
        <w:numPr>
          <w:ilvl w:val="0"/>
          <w:numId w:val="57"/>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针对数据销毁</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设置相关监督角色</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做好数据销毁监督工作</w:t>
      </w:r>
      <w:r>
        <w:rPr>
          <w:rFonts w:hint="eastAsia" w:ascii="仿宋" w:hAnsi="仿宋" w:eastAsia="仿宋" w:cs="仿宋"/>
          <w:color w:val="000000"/>
          <w:kern w:val="0"/>
          <w:sz w:val="24"/>
          <w:lang w:bidi="ar"/>
        </w:rPr>
        <w:t>。</w:t>
      </w:r>
    </w:p>
    <w:p>
      <w:pPr>
        <w:pStyle w:val="36"/>
        <w:spacing w:line="360" w:lineRule="auto"/>
        <w:ind w:left="1200" w:firstLine="0" w:firstLineChars="0"/>
        <w:rPr>
          <w:rFonts w:ascii="仿宋" w:hAnsi="仿宋" w:eastAsia="仿宋" w:cs="仿宋"/>
          <w:color w:val="000000"/>
          <w:kern w:val="0"/>
          <w:sz w:val="24"/>
          <w:lang w:bidi="ar"/>
        </w:rPr>
      </w:pPr>
    </w:p>
    <w:p>
      <w:pPr>
        <w:pStyle w:val="28"/>
        <w:ind w:left="0"/>
        <w:rPr>
          <w:rFonts w:ascii="仿宋" w:hAnsi="仿宋" w:cs="仿宋"/>
          <w:sz w:val="24"/>
        </w:rPr>
      </w:pPr>
      <w:r>
        <w:rPr>
          <w:rFonts w:hint="eastAsia" w:ascii="仿宋" w:hAnsi="仿宋" w:cs="仿宋"/>
          <w:sz w:val="24"/>
        </w:rPr>
        <w:t>通用安全要求</w:t>
      </w:r>
    </w:p>
    <w:p>
      <w:pPr>
        <w:numPr>
          <w:ilvl w:val="2"/>
          <w:numId w:val="58"/>
        </w:numPr>
        <w:spacing w:line="360" w:lineRule="auto"/>
        <w:rPr>
          <w:rFonts w:ascii="仿宋" w:hAnsi="仿宋" w:eastAsia="仿宋" w:cs="仿宋"/>
          <w:sz w:val="24"/>
        </w:rPr>
      </w:pPr>
      <w:r>
        <w:rPr>
          <w:rFonts w:hint="eastAsia" w:ascii="仿宋" w:hAnsi="仿宋" w:eastAsia="仿宋" w:cs="仿宋"/>
          <w:sz w:val="24"/>
        </w:rPr>
        <w:t>数据资产管理</w:t>
      </w:r>
    </w:p>
    <w:p>
      <w:pPr>
        <w:pStyle w:val="36"/>
        <w:numPr>
          <w:ilvl w:val="0"/>
          <w:numId w:val="59"/>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应建立数据资产安全管理策略，对数据安全全生命周期的操作规范、保护措施、管理人员职责等进行规定，包括但不限于数据采集、传输、存储、处理、交换、销毁等过程。</w:t>
      </w:r>
    </w:p>
    <w:p>
      <w:pPr>
        <w:pStyle w:val="36"/>
        <w:numPr>
          <w:ilvl w:val="0"/>
          <w:numId w:val="59"/>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应制定并执行数据分类分级保护策略</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针对不同类别级别的数据制定相应强度的安全保护要求</w:t>
      </w:r>
      <w:r>
        <w:rPr>
          <w:rFonts w:hint="eastAsia" w:ascii="仿宋" w:hAnsi="仿宋" w:eastAsia="仿宋" w:cs="仿宋"/>
          <w:color w:val="000000"/>
          <w:kern w:val="0"/>
          <w:sz w:val="24"/>
          <w:lang w:bidi="ar"/>
        </w:rPr>
        <w:t>。</w:t>
      </w:r>
    </w:p>
    <w:p>
      <w:pPr>
        <w:pStyle w:val="36"/>
        <w:numPr>
          <w:ilvl w:val="0"/>
          <w:numId w:val="59"/>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应定期评审数据的类别和级别</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如需要变更数据所属类别或级别</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应根据变更审批流程执行变更</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并同步更新数据资产清单</w:t>
      </w:r>
      <w:r>
        <w:rPr>
          <w:rFonts w:hint="eastAsia" w:ascii="仿宋" w:hAnsi="仿宋" w:eastAsia="仿宋" w:cs="仿宋"/>
          <w:color w:val="000000"/>
          <w:kern w:val="0"/>
          <w:sz w:val="24"/>
          <w:lang w:bidi="ar"/>
        </w:rPr>
        <w:t>。</w:t>
      </w:r>
    </w:p>
    <w:p>
      <w:pPr>
        <w:pStyle w:val="36"/>
        <w:numPr>
          <w:ilvl w:val="0"/>
          <w:numId w:val="59"/>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应对数据资产和对外数据接口进行登记管理</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建</w:t>
      </w:r>
      <w:r>
        <w:rPr>
          <w:rFonts w:hint="eastAsia" w:ascii="仿宋" w:hAnsi="仿宋" w:eastAsia="仿宋" w:cs="仿宋"/>
          <w:color w:val="000000"/>
          <w:kern w:val="0"/>
          <w:sz w:val="24"/>
          <w:lang w:bidi="ar"/>
        </w:rPr>
        <w:t>立</w:t>
      </w:r>
      <w:r>
        <w:rPr>
          <w:rFonts w:ascii="仿宋" w:hAnsi="仿宋" w:eastAsia="仿宋" w:cs="仿宋"/>
          <w:color w:val="000000"/>
          <w:kern w:val="0"/>
          <w:sz w:val="24"/>
          <w:lang w:bidi="ar"/>
        </w:rPr>
        <w:t>相应的资产清单</w:t>
      </w:r>
      <w:r>
        <w:rPr>
          <w:rFonts w:hint="eastAsia" w:ascii="仿宋" w:hAnsi="仿宋" w:eastAsia="仿宋" w:cs="仿宋"/>
          <w:color w:val="000000"/>
          <w:kern w:val="0"/>
          <w:sz w:val="24"/>
          <w:lang w:bidi="ar"/>
        </w:rPr>
        <w:t>。</w:t>
      </w:r>
    </w:p>
    <w:p>
      <w:pPr>
        <w:pStyle w:val="36"/>
        <w:numPr>
          <w:ilvl w:val="0"/>
          <w:numId w:val="59"/>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针对当前环境下数据安全措施</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产品</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工具的梳理</w:t>
      </w:r>
      <w:r>
        <w:rPr>
          <w:rFonts w:hint="eastAsia" w:ascii="仿宋" w:hAnsi="仿宋" w:eastAsia="仿宋" w:cs="仿宋"/>
          <w:color w:val="000000"/>
          <w:kern w:val="0"/>
          <w:sz w:val="24"/>
          <w:lang w:bidi="ar"/>
        </w:rPr>
        <w:t>。</w:t>
      </w:r>
    </w:p>
    <w:p>
      <w:pPr>
        <w:pStyle w:val="36"/>
        <w:numPr>
          <w:ilvl w:val="0"/>
          <w:numId w:val="59"/>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全面梳理各系统的敏感数据资产</w:t>
      </w:r>
      <w:r>
        <w:rPr>
          <w:rFonts w:hint="eastAsia" w:ascii="仿宋" w:hAnsi="仿宋" w:eastAsia="仿宋" w:cs="仿宋"/>
          <w:color w:val="000000"/>
          <w:kern w:val="0"/>
          <w:sz w:val="24"/>
          <w:lang w:bidi="ar"/>
        </w:rPr>
        <w:t>，包含敏感数据的分布情况梳理、访问情况梳理、授权情况梳理，以及采取的数据安全管理措施现状进行梳理。</w:t>
      </w:r>
    </w:p>
    <w:p>
      <w:pPr>
        <w:pStyle w:val="36"/>
        <w:numPr>
          <w:ilvl w:val="0"/>
          <w:numId w:val="59"/>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信息安全数据安全管理小组</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各部门数据接口人应根据数字资产的梳理情况，以及数据资产类别和级别</w:t>
      </w:r>
      <w:r>
        <w:rPr>
          <w:rFonts w:hint="eastAsia" w:ascii="仿宋" w:hAnsi="仿宋" w:eastAsia="仿宋" w:cs="仿宋"/>
          <w:color w:val="000000"/>
          <w:kern w:val="0"/>
          <w:sz w:val="24"/>
          <w:lang w:bidi="ar"/>
        </w:rPr>
        <w:t>，进行</w:t>
      </w:r>
      <w:r>
        <w:rPr>
          <w:rFonts w:ascii="仿宋" w:hAnsi="仿宋" w:eastAsia="仿宋" w:cs="仿宋"/>
          <w:color w:val="000000"/>
          <w:kern w:val="0"/>
          <w:sz w:val="24"/>
          <w:lang w:bidi="ar"/>
        </w:rPr>
        <w:t>综合分析</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汇总</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及时发现安全管理和技术防护</w:t>
      </w:r>
      <w:r>
        <w:rPr>
          <w:rFonts w:hint="eastAsia" w:ascii="仿宋" w:hAnsi="仿宋" w:eastAsia="仿宋" w:cs="仿宋"/>
          <w:color w:val="000000"/>
          <w:kern w:val="0"/>
          <w:sz w:val="24"/>
          <w:lang w:bidi="ar"/>
        </w:rPr>
        <w:t>存在的</w:t>
      </w:r>
      <w:r>
        <w:rPr>
          <w:rFonts w:ascii="仿宋" w:hAnsi="仿宋" w:eastAsia="仿宋" w:cs="仿宋"/>
          <w:color w:val="000000"/>
          <w:kern w:val="0"/>
          <w:sz w:val="24"/>
          <w:lang w:bidi="ar"/>
        </w:rPr>
        <w:t>安全问题</w:t>
      </w:r>
      <w:r>
        <w:rPr>
          <w:rFonts w:hint="eastAsia" w:ascii="仿宋" w:hAnsi="仿宋" w:eastAsia="仿宋" w:cs="仿宋"/>
          <w:color w:val="000000"/>
          <w:kern w:val="0"/>
          <w:sz w:val="24"/>
          <w:lang w:bidi="ar"/>
        </w:rPr>
        <w:t>，推动数据安全管理与技术整改，提高数据安全防护能力，降低风险发生概率。（如，临时活动采集的敏感数据，未统一进行加密处理等）</w:t>
      </w:r>
    </w:p>
    <w:p>
      <w:pPr>
        <w:spacing w:line="360" w:lineRule="auto"/>
        <w:ind w:firstLine="420" w:firstLineChars="200"/>
        <w:rPr>
          <w:rFonts w:ascii="仿宋" w:hAnsi="仿宋" w:eastAsia="仿宋" w:cs="仿宋"/>
        </w:rPr>
      </w:pPr>
    </w:p>
    <w:p>
      <w:pPr>
        <w:numPr>
          <w:ilvl w:val="2"/>
          <w:numId w:val="58"/>
        </w:numPr>
        <w:spacing w:line="360" w:lineRule="auto"/>
        <w:rPr>
          <w:rFonts w:ascii="仿宋" w:hAnsi="仿宋" w:eastAsia="仿宋" w:cs="仿宋"/>
          <w:sz w:val="24"/>
        </w:rPr>
      </w:pPr>
      <w:r>
        <w:rPr>
          <w:rFonts w:hint="eastAsia" w:ascii="仿宋" w:hAnsi="仿宋" w:eastAsia="仿宋" w:cs="仿宋"/>
          <w:sz w:val="24"/>
        </w:rPr>
        <w:t xml:space="preserve"> 鉴别与访问控制</w:t>
      </w:r>
    </w:p>
    <w:p>
      <w:pPr>
        <w:pStyle w:val="36"/>
        <w:numPr>
          <w:ilvl w:val="0"/>
          <w:numId w:val="6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 公司承载敏感数据的系统/平台/功能服务，应集中加入统一用户身份鉴别管理系统，通过对账户信息进行安全认证，实现统一单点登录管理。</w:t>
      </w:r>
    </w:p>
    <w:p>
      <w:pPr>
        <w:pStyle w:val="36"/>
        <w:numPr>
          <w:ilvl w:val="0"/>
          <w:numId w:val="6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针对大数据平台/数据仓库/数据库等的数据访问必须遵循统一的身份鉴别机制。采用统一单点登录身份认证技术对用户进行身份鉴别管理。</w:t>
      </w:r>
    </w:p>
    <w:p>
      <w:pPr>
        <w:pStyle w:val="36"/>
        <w:numPr>
          <w:ilvl w:val="0"/>
          <w:numId w:val="6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基于用户和角色的认证统一体系，应遵从账户</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角色（基于角色的访问控制）模型，实现通过角色进行权限管理，对用户进行批量授权管理，降低集群的管理难度，通过角色创建访问组件资源的权限，可以细颗粒度地管理资源（如文件、目录、表、数据库等访问权限），将角色授予用户/用户组，简化用户/用户组的权限配置。</w:t>
      </w:r>
    </w:p>
    <w:p>
      <w:pPr>
        <w:pStyle w:val="36"/>
        <w:numPr>
          <w:ilvl w:val="0"/>
          <w:numId w:val="60"/>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应根据数据访问主体身份，以及被访问数据的密级，实现对各类数据的访问授权。对于</w:t>
      </w:r>
      <w:r>
        <w:rPr>
          <w:rFonts w:ascii="仿宋" w:hAnsi="仿宋" w:eastAsia="仿宋" w:cs="仿宋"/>
          <w:color w:val="000000"/>
          <w:kern w:val="0"/>
          <w:sz w:val="24"/>
          <w:lang w:bidi="ar"/>
        </w:rPr>
        <w:t>C</w:t>
      </w:r>
      <w:r>
        <w:rPr>
          <w:rFonts w:hint="eastAsia" w:ascii="仿宋" w:hAnsi="仿宋" w:eastAsia="仿宋" w:cs="仿宋"/>
          <w:color w:val="000000"/>
          <w:kern w:val="0"/>
          <w:sz w:val="24"/>
          <w:lang w:bidi="ar"/>
        </w:rPr>
        <w:t>3级及以上的数据，需要严格执行数据安全申请审批流程。</w:t>
      </w:r>
    </w:p>
    <w:p>
      <w:pPr>
        <w:pStyle w:val="36"/>
        <w:spacing w:line="360" w:lineRule="auto"/>
        <w:ind w:left="1200" w:firstLine="0" w:firstLineChars="0"/>
        <w:rPr>
          <w:rFonts w:ascii="仿宋" w:hAnsi="仿宋" w:eastAsia="仿宋" w:cs="仿宋"/>
          <w:sz w:val="24"/>
        </w:rPr>
      </w:pPr>
    </w:p>
    <w:p>
      <w:pPr>
        <w:numPr>
          <w:ilvl w:val="2"/>
          <w:numId w:val="58"/>
        </w:numPr>
        <w:spacing w:line="360" w:lineRule="auto"/>
        <w:rPr>
          <w:rFonts w:ascii="仿宋" w:hAnsi="仿宋" w:eastAsia="仿宋" w:cs="仿宋"/>
          <w:sz w:val="24"/>
        </w:rPr>
      </w:pPr>
      <w:r>
        <w:rPr>
          <w:rFonts w:hint="eastAsia" w:ascii="仿宋" w:hAnsi="仿宋" w:eastAsia="仿宋" w:cs="仿宋"/>
          <w:sz w:val="24"/>
        </w:rPr>
        <w:t xml:space="preserve"> 数据安全监控和审计</w:t>
      </w:r>
    </w:p>
    <w:p>
      <w:pPr>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针对数据生存周期各环节开展安全监控和审计，以保证对数据的访问和操作得到有效的监控和审计，执行有效的日志审计管理，以实现对数据生存周期各环节中可能存在的未授权访问、数据滥用和数据泄露、篡改、丢失等安全风险的防控。</w:t>
      </w:r>
      <w:r>
        <w:rPr>
          <w:rFonts w:ascii="仿宋" w:hAnsi="仿宋" w:eastAsia="仿宋" w:cs="仿宋"/>
          <w:color w:val="000000"/>
          <w:kern w:val="0"/>
          <w:sz w:val="24"/>
          <w:lang w:bidi="ar"/>
        </w:rPr>
        <w:t xml:space="preserve"> 主要包含管理和技术两方面安全要求。 </w:t>
      </w:r>
    </w:p>
    <w:p>
      <w:pPr>
        <w:pStyle w:val="36"/>
        <w:numPr>
          <w:ilvl w:val="0"/>
          <w:numId w:val="6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管理层面要求</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各业务线</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平台</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部门应按照数据的重要程度，对数据生存周期各环节的数据访问和操作，建立相应的监控与审计规则、方案，如实时监控、定期批量监控等。</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各业务线</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平台</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部门应对电子记录（如各系统及应用、数据库、数据仓库等）和非电子记录（如纸质）形式的数据载体中的数据，以系统或部门为单位，设立相应的数据安全监控和审计岗位，指定具体人员，负责对数据生存周期各环节的数据访问和操作行为中的安全风险进行监控与审计，能够识别数据泄露、篡改、丢失风险，并及时应对。</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ascii="仿宋" w:hAnsi="仿宋" w:eastAsia="仿宋" w:cs="仿宋"/>
          <w:color w:val="000000"/>
          <w:kern w:val="0"/>
          <w:sz w:val="24"/>
          <w:lang w:bidi="ar"/>
        </w:rPr>
        <w:t>应对各系统和应用</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软硬件设备或服务的审计</w:t>
      </w:r>
      <w:r>
        <w:rPr>
          <w:rFonts w:hint="eastAsia" w:ascii="仿宋" w:hAnsi="仿宋" w:eastAsia="仿宋" w:cs="仿宋"/>
          <w:color w:val="000000"/>
          <w:kern w:val="0"/>
          <w:sz w:val="24"/>
          <w:lang w:bidi="ar"/>
        </w:rPr>
        <w:t>日志记录</w:t>
      </w:r>
      <w:r>
        <w:rPr>
          <w:rFonts w:ascii="仿宋" w:hAnsi="仿宋" w:eastAsia="仿宋" w:cs="仿宋"/>
          <w:color w:val="000000"/>
          <w:kern w:val="0"/>
          <w:sz w:val="24"/>
          <w:lang w:bidi="ar"/>
        </w:rPr>
        <w:t>进行统一集中管理</w:t>
      </w:r>
      <w:r>
        <w:rPr>
          <w:rFonts w:hint="eastAsia" w:ascii="仿宋" w:hAnsi="仿宋" w:eastAsia="仿宋" w:cs="仿宋"/>
          <w:color w:val="000000"/>
          <w:kern w:val="0"/>
          <w:sz w:val="24"/>
          <w:lang w:bidi="ar"/>
        </w:rPr>
        <w:t>，实现</w:t>
      </w:r>
      <w:r>
        <w:rPr>
          <w:rFonts w:ascii="仿宋" w:hAnsi="仿宋" w:eastAsia="仿宋" w:cs="仿宋"/>
          <w:color w:val="000000"/>
          <w:kern w:val="0"/>
          <w:sz w:val="24"/>
          <w:lang w:bidi="ar"/>
        </w:rPr>
        <w:t>异地备份存储</w:t>
      </w:r>
      <w:r>
        <w:rPr>
          <w:rFonts w:hint="eastAsia" w:ascii="仿宋" w:hAnsi="仿宋" w:eastAsia="仿宋" w:cs="仿宋"/>
          <w:color w:val="000000"/>
          <w:kern w:val="0"/>
          <w:sz w:val="24"/>
          <w:lang w:bidi="ar"/>
        </w:rPr>
        <w:t>。</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定期进行内部审计或外部审计，协同推动数据安全管理工作的开展与改进。</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审计过程形成的记录应对安全事件的处置、应急响应和时候调查提供支撑。</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应检测或防止非授权访问、篡改、删除审计记录。</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审计数据被授权修改时，对该操作进行审计。</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ascii="仿宋" w:hAnsi="仿宋" w:eastAsia="仿宋" w:cs="仿宋"/>
          <w:color w:val="000000"/>
          <w:kern w:val="0"/>
          <w:sz w:val="24"/>
          <w:lang w:bidi="ar"/>
        </w:rPr>
        <w:t>只有具有相应权限的用户</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才可以读取对应的审计数据</w:t>
      </w:r>
      <w:r>
        <w:rPr>
          <w:rFonts w:hint="eastAsia" w:ascii="仿宋" w:hAnsi="仿宋" w:eastAsia="仿宋" w:cs="仿宋"/>
          <w:color w:val="000000"/>
          <w:kern w:val="0"/>
          <w:sz w:val="24"/>
          <w:lang w:bidi="ar"/>
        </w:rPr>
        <w:t>。</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应及时处理审计过程中发现的违规使用、滥用、恶意操作等情况。</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ascii="仿宋" w:hAnsi="仿宋" w:eastAsia="仿宋" w:cs="仿宋"/>
          <w:color w:val="000000"/>
          <w:kern w:val="0"/>
          <w:sz w:val="24"/>
          <w:lang w:bidi="ar"/>
        </w:rPr>
        <w:t xml:space="preserve">C3 及以上密级数据均保存所有访问的日志，用于审计。敏感数据的更新、批量查询和导出必须保存日志记录，日志内容至少包括操作员、操作时间、操作内容、操作结果、操作方式等。 </w:t>
      </w:r>
    </w:p>
    <w:p>
      <w:pPr>
        <w:pStyle w:val="36"/>
        <w:numPr>
          <w:ilvl w:val="0"/>
          <w:numId w:val="62"/>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应定期审核C2及以上密级数据的定级、共享、外发、删除、降级，确保操作合理性。相关授权文档、访问日志等记录应保存至少6个月，确保安全事件的事后追溯、定位问题原因及划分事故责任提供有力依据。</w:t>
      </w:r>
    </w:p>
    <w:p>
      <w:pPr>
        <w:pStyle w:val="36"/>
        <w:spacing w:line="360" w:lineRule="auto"/>
        <w:ind w:left="1200" w:firstLine="0" w:firstLineChars="0"/>
        <w:rPr>
          <w:rFonts w:ascii="仿宋" w:hAnsi="仿宋" w:eastAsia="仿宋" w:cs="仿宋"/>
          <w:color w:val="000000"/>
          <w:kern w:val="0"/>
          <w:sz w:val="24"/>
          <w:lang w:bidi="ar"/>
        </w:rPr>
      </w:pPr>
    </w:p>
    <w:p>
      <w:pPr>
        <w:pStyle w:val="36"/>
        <w:numPr>
          <w:ilvl w:val="0"/>
          <w:numId w:val="6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技术层面要求</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在数据生存周期各环节中，针对用户管理、权限管理、用户登录、数据获取/访问/修改等操作行为进行完整日志记录，做好集中统一管理。</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根据相关的系统审计日志，进行实时监控、分析，实现事中可发现，事后可追溯和取证分析。</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应具备对数据的异常或高风险操作进行自动识别和实时预警的能力。</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新域名申请与新业务系统上线，均需要进行数据安全审计。 </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日志中的数据为C</w:t>
      </w:r>
      <w:r>
        <w:rPr>
          <w:rFonts w:ascii="仿宋" w:hAnsi="仿宋" w:eastAsia="仿宋" w:cs="仿宋"/>
          <w:color w:val="000000"/>
          <w:kern w:val="0"/>
          <w:sz w:val="24"/>
          <w:lang w:bidi="ar"/>
        </w:rPr>
        <w:t>3</w:t>
      </w:r>
      <w:r>
        <w:rPr>
          <w:rFonts w:hint="eastAsia" w:ascii="仿宋" w:hAnsi="仿宋" w:eastAsia="仿宋" w:cs="仿宋"/>
          <w:color w:val="000000"/>
          <w:kern w:val="0"/>
          <w:sz w:val="24"/>
          <w:lang w:bidi="ar"/>
        </w:rPr>
        <w:t>及C</w:t>
      </w:r>
      <w:r>
        <w:rPr>
          <w:rFonts w:ascii="仿宋" w:hAnsi="仿宋" w:eastAsia="仿宋" w:cs="仿宋"/>
          <w:color w:val="000000"/>
          <w:kern w:val="0"/>
          <w:sz w:val="24"/>
          <w:lang w:bidi="ar"/>
        </w:rPr>
        <w:t>4</w:t>
      </w:r>
      <w:r>
        <w:rPr>
          <w:rFonts w:hint="eastAsia" w:ascii="仿宋" w:hAnsi="仿宋" w:eastAsia="仿宋" w:cs="仿宋"/>
          <w:color w:val="000000"/>
          <w:kern w:val="0"/>
          <w:sz w:val="24"/>
          <w:lang w:bidi="ar"/>
        </w:rPr>
        <w:t xml:space="preserve">级别，业务记录的日志中包含明文敏感数据字段的，应统一进行加密、脱敏处理。特殊日志除外。 </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定期进行内部审计或外部审计，落实数据安全技术层面改进。</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新域名申请与新业务上线前，均需要进行数据安全审计。</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应对数据使用行为进行审计，发现违反规则、恶意操作等行为时及时处置。</w:t>
      </w:r>
    </w:p>
    <w:p>
      <w:pPr>
        <w:pStyle w:val="36"/>
        <w:numPr>
          <w:ilvl w:val="0"/>
          <w:numId w:val="63"/>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应建立自动化审计系统，监测记录个人信息处理活动。</w:t>
      </w:r>
    </w:p>
    <w:p>
      <w:pPr>
        <w:spacing w:line="360" w:lineRule="auto"/>
        <w:ind w:firstLine="420" w:firstLineChars="200"/>
        <w:rPr>
          <w:rFonts w:ascii="仿宋" w:hAnsi="仿宋" w:eastAsia="仿宋" w:cs="仿宋"/>
          <w:lang w:bidi="ar"/>
        </w:rPr>
      </w:pPr>
    </w:p>
    <w:p>
      <w:pPr>
        <w:numPr>
          <w:ilvl w:val="2"/>
          <w:numId w:val="58"/>
        </w:numPr>
        <w:spacing w:line="360" w:lineRule="auto"/>
        <w:rPr>
          <w:rFonts w:ascii="仿宋" w:hAnsi="仿宋" w:eastAsia="仿宋" w:cs="仿宋"/>
          <w:sz w:val="24"/>
        </w:rPr>
      </w:pPr>
      <w:r>
        <w:rPr>
          <w:rFonts w:hint="eastAsia" w:ascii="仿宋" w:hAnsi="仿宋" w:eastAsia="仿宋" w:cs="仿宋"/>
          <w:sz w:val="24"/>
        </w:rPr>
        <w:t>第三方接入管理</w:t>
      </w:r>
    </w:p>
    <w:p>
      <w:pPr>
        <w:spacing w:line="360" w:lineRule="auto"/>
        <w:rPr>
          <w:rFonts w:ascii="仿宋" w:hAnsi="仿宋" w:eastAsia="仿宋" w:cs="仿宋"/>
          <w:sz w:val="24"/>
        </w:rPr>
      </w:pPr>
      <w:r>
        <w:rPr>
          <w:rFonts w:ascii="仿宋" w:hAnsi="仿宋" w:eastAsia="仿宋" w:cs="仿宋"/>
          <w:sz w:val="24"/>
        </w:rPr>
        <w:t xml:space="preserve"> </w:t>
      </w:r>
      <w:r>
        <w:rPr>
          <w:rFonts w:hint="eastAsia" w:ascii="仿宋" w:hAnsi="仿宋" w:eastAsia="仿宋" w:cs="仿宋"/>
          <w:sz w:val="24"/>
        </w:rPr>
        <w:t xml:space="preserve">  公司提供的产品（如A</w:t>
      </w:r>
      <w:r>
        <w:rPr>
          <w:rFonts w:ascii="仿宋" w:hAnsi="仿宋" w:eastAsia="仿宋" w:cs="仿宋"/>
          <w:sz w:val="24"/>
        </w:rPr>
        <w:t>PP</w:t>
      </w:r>
      <w:r>
        <w:rPr>
          <w:rFonts w:hint="eastAsia" w:ascii="仿宋" w:hAnsi="仿宋" w:eastAsia="仿宋" w:cs="仿宋"/>
          <w:sz w:val="24"/>
        </w:rPr>
        <w:t>）或服务中接入或调用第三方的产品或服务（如软件开发包S</w:t>
      </w:r>
      <w:r>
        <w:rPr>
          <w:rFonts w:ascii="仿宋" w:hAnsi="仿宋" w:eastAsia="仿宋" w:cs="仿宋"/>
          <w:sz w:val="24"/>
        </w:rPr>
        <w:t>DK</w:t>
      </w:r>
      <w:r>
        <w:rPr>
          <w:rFonts w:hint="eastAsia" w:ascii="仿宋" w:hAnsi="仿宋" w:eastAsia="仿宋" w:cs="仿宋"/>
          <w:sz w:val="24"/>
        </w:rPr>
        <w:t>、第三方API接口）等时，应遵循以下安全管理要求：</w:t>
      </w:r>
    </w:p>
    <w:p>
      <w:pPr>
        <w:pStyle w:val="36"/>
        <w:numPr>
          <w:ilvl w:val="0"/>
          <w:numId w:val="64"/>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未经用户同意，不得向第三方应用提供个人信息。</w:t>
      </w:r>
    </w:p>
    <w:p>
      <w:pPr>
        <w:pStyle w:val="36"/>
        <w:numPr>
          <w:ilvl w:val="0"/>
          <w:numId w:val="64"/>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公司产品或服务接入的第三方产品或服务具备收集个人信息功能时，应向个人信息主体（即用户）明确告知个人信息处理者（包含但不限于公司、部门等）的名字和联系方式、处理目的、处理方式和个人信息的种类等事项，获得用户明示同意。（如APP以“弹窗”方式明确告知用户，并获得用户授权同意）。应严格遵守《个人信息安全规范》、《移动互联网应用程序（A</w:t>
      </w:r>
      <w:r>
        <w:rPr>
          <w:rFonts w:ascii="仿宋" w:hAnsi="仿宋" w:eastAsia="仿宋" w:cs="仿宋"/>
          <w:color w:val="000000"/>
          <w:kern w:val="0"/>
          <w:sz w:val="24"/>
          <w:lang w:bidi="ar"/>
        </w:rPr>
        <w:t>PP</w:t>
      </w:r>
      <w:r>
        <w:rPr>
          <w:rFonts w:hint="eastAsia" w:ascii="仿宋" w:hAnsi="仿宋" w:eastAsia="仿宋" w:cs="仿宋"/>
          <w:color w:val="000000"/>
          <w:kern w:val="0"/>
          <w:sz w:val="24"/>
          <w:lang w:bidi="ar"/>
        </w:rPr>
        <w:t>）个人信息安全防范指引》等中的相关规定。</w:t>
      </w:r>
    </w:p>
    <w:p>
      <w:pPr>
        <w:pStyle w:val="36"/>
        <w:numPr>
          <w:ilvl w:val="0"/>
          <w:numId w:val="64"/>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针对接入的第三方产品或服务，收集的个人信息完全由第三方接入管理时，应满足以下要求：</w:t>
      </w:r>
    </w:p>
    <w:p>
      <w:pPr>
        <w:pStyle w:val="36"/>
        <w:numPr>
          <w:ilvl w:val="0"/>
          <w:numId w:val="65"/>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应建立第三方接入产品或服务接入管理机制和工作流程，必要时应建立安全评估等机制设置接入条件。</w:t>
      </w:r>
    </w:p>
    <w:p>
      <w:pPr>
        <w:pStyle w:val="36"/>
        <w:numPr>
          <w:ilvl w:val="0"/>
          <w:numId w:val="65"/>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应与第三方产品或服务提供方通过合同等形式，明确双方的安全责任及应实施的个人信息安全措施。</w:t>
      </w:r>
    </w:p>
    <w:p>
      <w:pPr>
        <w:pStyle w:val="36"/>
        <w:numPr>
          <w:ilvl w:val="0"/>
          <w:numId w:val="65"/>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应向用户明确标识产品或服务由第三方提供。</w:t>
      </w:r>
    </w:p>
    <w:p>
      <w:pPr>
        <w:pStyle w:val="36"/>
        <w:numPr>
          <w:ilvl w:val="0"/>
          <w:numId w:val="65"/>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应妥善留存平台第三方接入有关合同和管理记录，确保可供相关方查阅。</w:t>
      </w:r>
    </w:p>
    <w:p>
      <w:pPr>
        <w:pStyle w:val="36"/>
        <w:numPr>
          <w:ilvl w:val="0"/>
          <w:numId w:val="65"/>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应要求第三方严格遵守《个人信息安全规范》，向个人信息主体征得收集个人信息的授权同意，必要时核验其实现的方式。</w:t>
      </w:r>
    </w:p>
    <w:p>
      <w:pPr>
        <w:pStyle w:val="36"/>
        <w:numPr>
          <w:ilvl w:val="0"/>
          <w:numId w:val="65"/>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应监督第三方产品或服务建立个人信息主体请求和投诉等的机制，以供个人信息主体查询、使用。</w:t>
      </w:r>
    </w:p>
    <w:p>
      <w:pPr>
        <w:pStyle w:val="36"/>
        <w:numPr>
          <w:ilvl w:val="0"/>
          <w:numId w:val="65"/>
        </w:numPr>
        <w:spacing w:line="360" w:lineRule="auto"/>
        <w:ind w:hanging="349"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公司提供的产品或服务嵌入第三方自动化工具（如代码、脚本、接口、算法模型、软件开发工具包、小程序等）的，为确保合作过程中的技术监督和行为审计，应采取以下措施：</w:t>
      </w:r>
    </w:p>
    <w:p>
      <w:pPr>
        <w:pStyle w:val="36"/>
        <w:numPr>
          <w:ilvl w:val="0"/>
          <w:numId w:val="6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通过技术检测确保其个人信息收集、使用行为符合数据安全规范要求。</w:t>
      </w:r>
    </w:p>
    <w:p>
      <w:pPr>
        <w:pStyle w:val="36"/>
        <w:numPr>
          <w:ilvl w:val="0"/>
          <w:numId w:val="66"/>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对第三方嵌入或接入的自动化工具收集个人信息的行为进行审计，发现超出合同约定或最小化必要的行为，及时切断接入。</w:t>
      </w:r>
    </w:p>
    <w:p>
      <w:pPr>
        <w:spacing w:line="360" w:lineRule="auto"/>
        <w:ind w:left="993"/>
        <w:rPr>
          <w:rFonts w:ascii="仿宋" w:hAnsi="仿宋" w:eastAsia="仿宋" w:cs="仿宋"/>
          <w:sz w:val="24"/>
        </w:rPr>
      </w:pPr>
    </w:p>
    <w:p>
      <w:pPr>
        <w:numPr>
          <w:ilvl w:val="2"/>
          <w:numId w:val="58"/>
        </w:numPr>
        <w:spacing w:line="360" w:lineRule="auto"/>
        <w:rPr>
          <w:rFonts w:ascii="仿宋" w:hAnsi="仿宋" w:eastAsia="仿宋" w:cs="仿宋"/>
          <w:sz w:val="24"/>
        </w:rPr>
      </w:pPr>
      <w:r>
        <w:rPr>
          <w:rFonts w:hint="eastAsia" w:ascii="仿宋" w:hAnsi="仿宋" w:eastAsia="仿宋" w:cs="仿宋"/>
          <w:sz w:val="24"/>
        </w:rPr>
        <w:t>通用基线安全要求</w:t>
      </w:r>
    </w:p>
    <w:p>
      <w:pPr>
        <w:spacing w:line="360" w:lineRule="auto"/>
        <w:ind w:firstLine="480" w:firstLineChars="200"/>
        <w:rPr>
          <w:rFonts w:ascii="仿宋" w:hAnsi="仿宋" w:eastAsia="仿宋" w:cs="仿宋"/>
          <w:sz w:val="24"/>
        </w:rPr>
      </w:pPr>
      <w:r>
        <w:rPr>
          <w:rFonts w:hint="eastAsia" w:ascii="仿宋" w:hAnsi="仿宋" w:eastAsia="仿宋" w:cs="仿宋"/>
          <w:sz w:val="24"/>
        </w:rPr>
        <w:t>公司所有新建或已投入使用的应用系统应遵循本章的基线安全要求。</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 所有包含C2及以上密级数据介质或文档都应明确标识敏感级别。 </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 公司所有涉及C3及以上密级数据的系统应具备以下功能要求，主要如下： </w:t>
      </w:r>
    </w:p>
    <w:p>
      <w:pPr>
        <w:pStyle w:val="36"/>
        <w:numPr>
          <w:ilvl w:val="0"/>
          <w:numId w:val="68"/>
        </w:numPr>
        <w:spacing w:line="360" w:lineRule="auto"/>
        <w:ind w:hanging="491"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所有访问应认证鉴权，细化到个人账户。</w:t>
      </w:r>
      <w:r>
        <w:rPr>
          <w:rFonts w:ascii="仿宋" w:hAnsi="仿宋" w:eastAsia="仿宋" w:cs="仿宋"/>
          <w:color w:val="000000"/>
          <w:kern w:val="0"/>
          <w:sz w:val="24"/>
          <w:lang w:bidi="ar"/>
        </w:rPr>
        <w:t xml:space="preserve"> </w:t>
      </w:r>
    </w:p>
    <w:p>
      <w:pPr>
        <w:pStyle w:val="36"/>
        <w:numPr>
          <w:ilvl w:val="0"/>
          <w:numId w:val="68"/>
        </w:numPr>
        <w:spacing w:line="360" w:lineRule="auto"/>
        <w:ind w:hanging="491"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应有安全的登录机制，具有中等级以上认证强度。</w:t>
      </w:r>
      <w:r>
        <w:rPr>
          <w:rFonts w:ascii="仿宋" w:hAnsi="仿宋" w:eastAsia="仿宋" w:cs="仿宋"/>
          <w:color w:val="000000"/>
          <w:kern w:val="0"/>
          <w:sz w:val="24"/>
          <w:lang w:bidi="ar"/>
        </w:rPr>
        <w:t xml:space="preserve">C4级数据需要采用双因子认证机制。 </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C3及以上密级数据应存储于具备正当安全防护措施的存储设备中，C4级数据需要加密存储。 </w:t>
      </w:r>
    </w:p>
    <w:p>
      <w:pPr>
        <w:pStyle w:val="36"/>
        <w:numPr>
          <w:ilvl w:val="0"/>
          <w:numId w:val="67"/>
        </w:numPr>
        <w:spacing w:line="360" w:lineRule="auto"/>
        <w:ind w:firstLineChars="0"/>
        <w:rPr>
          <w:rFonts w:ascii="仿宋" w:hAnsi="仿宋" w:eastAsia="仿宋" w:cs="仿宋"/>
          <w:color w:val="000000"/>
          <w:kern w:val="0"/>
          <w:sz w:val="24"/>
          <w:lang w:bidi="ar"/>
        </w:rPr>
      </w:pPr>
      <w:r>
        <w:rPr>
          <w:rFonts w:ascii="仿宋" w:hAnsi="仿宋" w:eastAsia="仿宋" w:cs="仿宋"/>
          <w:color w:val="000000"/>
          <w:kern w:val="0"/>
          <w:sz w:val="24"/>
          <w:lang w:bidi="ar"/>
        </w:rPr>
        <w:t xml:space="preserve"> C3</w:t>
      </w:r>
      <w:r>
        <w:rPr>
          <w:rFonts w:hint="eastAsia" w:ascii="仿宋" w:hAnsi="仿宋" w:eastAsia="仿宋" w:cs="仿宋"/>
          <w:color w:val="000000"/>
          <w:kern w:val="0"/>
          <w:sz w:val="24"/>
          <w:lang w:bidi="ar"/>
        </w:rPr>
        <w:t xml:space="preserve">及以上密级数据应加密传输。 </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 从数据仓库到数据应用产品时，C3及以上密级数据不应下载到本地设备编辑或处理，C3及以上密级数据在业务系统中应脱敏展示。 </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 禁止应用系统和管理后台私自开发 C3及以上密级数据的导出、下载功能，如有特殊需求需报备</w:t>
      </w:r>
      <w:r>
        <w:rPr>
          <w:rFonts w:ascii="仿宋" w:hAnsi="仿宋" w:eastAsia="仿宋" w:cs="仿宋"/>
          <w:sz w:val="24"/>
        </w:rPr>
        <w:t>数据安全管理小组邮箱</w:t>
      </w:r>
      <w:r>
        <w:rPr>
          <w:rFonts w:hint="eastAsia" w:ascii="仿宋" w:hAnsi="仿宋" w:eastAsia="仿宋" w:cs="仿宋"/>
          <w:color w:val="000000"/>
          <w:kern w:val="0"/>
          <w:sz w:val="24"/>
          <w:lang w:bidi="ar"/>
        </w:rPr>
        <w:t xml:space="preserve">进行评估。 </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 C3及以上密级数据分发应至少选择以下一种手段进行保护： </w:t>
      </w:r>
    </w:p>
    <w:p>
      <w:pPr>
        <w:pStyle w:val="36"/>
        <w:numPr>
          <w:ilvl w:val="0"/>
          <w:numId w:val="69"/>
        </w:numPr>
        <w:spacing w:line="360" w:lineRule="auto"/>
        <w:ind w:hanging="491"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采用数据水印技术，确保对分发后的数据的追踪，在数据泄露、篡改、丢失行为发生后，对造成数据泄露的源头可回溯。</w:t>
      </w:r>
      <w:r>
        <w:rPr>
          <w:rFonts w:ascii="仿宋" w:hAnsi="仿宋" w:eastAsia="仿宋" w:cs="仿宋"/>
          <w:color w:val="000000"/>
          <w:kern w:val="0"/>
          <w:sz w:val="24"/>
          <w:lang w:bidi="ar"/>
        </w:rPr>
        <w:t xml:space="preserve"> </w:t>
      </w:r>
    </w:p>
    <w:p>
      <w:pPr>
        <w:pStyle w:val="36"/>
        <w:numPr>
          <w:ilvl w:val="0"/>
          <w:numId w:val="69"/>
        </w:numPr>
        <w:spacing w:line="360" w:lineRule="auto"/>
        <w:ind w:hanging="491"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采用数据加密技术，对关键字段进行加密。</w:t>
      </w:r>
      <w:r>
        <w:rPr>
          <w:rFonts w:ascii="仿宋" w:hAnsi="仿宋" w:eastAsia="仿宋" w:cs="仿宋"/>
          <w:color w:val="000000"/>
          <w:kern w:val="0"/>
          <w:sz w:val="24"/>
          <w:lang w:bidi="ar"/>
        </w:rPr>
        <w:t xml:space="preserve"> </w:t>
      </w:r>
    </w:p>
    <w:p>
      <w:pPr>
        <w:pStyle w:val="36"/>
        <w:numPr>
          <w:ilvl w:val="0"/>
          <w:numId w:val="69"/>
        </w:numPr>
        <w:spacing w:line="360" w:lineRule="auto"/>
        <w:ind w:hanging="491"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采用数据脱敏技术，对关键数据进行脱敏处理。</w:t>
      </w:r>
      <w:r>
        <w:rPr>
          <w:rFonts w:ascii="仿宋" w:hAnsi="仿宋" w:eastAsia="仿宋" w:cs="仿宋"/>
          <w:color w:val="000000"/>
          <w:kern w:val="0"/>
          <w:sz w:val="24"/>
          <w:lang w:bidi="ar"/>
        </w:rPr>
        <w:t xml:space="preserve"> </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C2及以上密级数据的访问必须建立清晰的访问控制策略，且授权只能用于已明确授权的用途。授权必须通过申请审批流程，且应记录审批过程并可查询。 </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数据使用审批应明确数据访问频次以及是否批量查询与下载，明确工作开展必需的字段。</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 xml:space="preserve">密级与安全要求保持一致性，C3、C4 级数据跨系统使用必须经过审批，提供保证数据安全要求一致的防护方案。 </w:t>
      </w:r>
    </w:p>
    <w:p>
      <w:pPr>
        <w:pStyle w:val="36"/>
        <w:numPr>
          <w:ilvl w:val="0"/>
          <w:numId w:val="67"/>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授权使用数据时，应明确数据使用期限，</w:t>
      </w:r>
      <w:r>
        <w:rPr>
          <w:rFonts w:ascii="仿宋" w:hAnsi="仿宋" w:eastAsia="仿宋" w:cs="仿宋"/>
          <w:color w:val="000000"/>
          <w:kern w:val="0"/>
          <w:sz w:val="24"/>
          <w:lang w:bidi="ar"/>
        </w:rPr>
        <w:t>C3及以上级别的数据的访问权限应设置时效性</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最长授权时间不得超过</w:t>
      </w:r>
      <w:r>
        <w:rPr>
          <w:rFonts w:hint="eastAsia" w:ascii="仿宋" w:hAnsi="仿宋" w:eastAsia="仿宋" w:cs="仿宋"/>
          <w:color w:val="000000"/>
          <w:kern w:val="0"/>
          <w:sz w:val="24"/>
          <w:lang w:bidi="ar"/>
        </w:rPr>
        <w:t xml:space="preserve">6个月，到期后应清理数据。 </w:t>
      </w:r>
    </w:p>
    <w:p>
      <w:pPr>
        <w:spacing w:line="360" w:lineRule="auto"/>
        <w:ind w:firstLine="420" w:firstLineChars="200"/>
        <w:rPr>
          <w:rFonts w:ascii="仿宋" w:hAnsi="仿宋" w:eastAsia="仿宋" w:cs="仿宋"/>
        </w:rPr>
        <w:sectPr>
          <w:pgSz w:w="11906" w:h="16838"/>
          <w:pgMar w:top="720" w:right="720" w:bottom="720" w:left="720" w:header="851" w:footer="992" w:gutter="0"/>
          <w:cols w:space="425" w:num="1"/>
          <w:docGrid w:type="lines" w:linePitch="312" w:charSpace="0"/>
        </w:sectPr>
      </w:pPr>
    </w:p>
    <w:p>
      <w:pPr>
        <w:spacing w:line="360" w:lineRule="auto"/>
        <w:ind w:firstLine="420" w:firstLineChars="200"/>
        <w:rPr>
          <w:rFonts w:ascii="仿宋" w:hAnsi="仿宋" w:eastAsia="仿宋" w:cs="仿宋"/>
        </w:rPr>
      </w:pPr>
    </w:p>
    <w:p>
      <w:pPr>
        <w:pStyle w:val="5"/>
        <w:numPr>
          <w:ilvl w:val="0"/>
          <w:numId w:val="3"/>
        </w:numPr>
        <w:spacing w:before="100" w:after="100"/>
        <w:jc w:val="center"/>
        <w:rPr>
          <w:rFonts w:hint="default" w:ascii="仿宋" w:hAnsi="仿宋" w:eastAsia="仿宋"/>
          <w:sz w:val="28"/>
          <w:szCs w:val="28"/>
        </w:rPr>
      </w:pPr>
      <w:r>
        <w:rPr>
          <w:rFonts w:ascii="仿宋" w:hAnsi="仿宋" w:eastAsia="仿宋"/>
          <w:sz w:val="28"/>
          <w:szCs w:val="28"/>
        </w:rPr>
        <w:t>数据使用申请审批管理</w:t>
      </w:r>
    </w:p>
    <w:p>
      <w:pPr>
        <w:pStyle w:val="28"/>
        <w:ind w:left="0"/>
        <w:rPr>
          <w:rFonts w:ascii="仿宋" w:hAnsi="仿宋" w:cs="仿宋"/>
          <w:sz w:val="24"/>
        </w:rPr>
      </w:pPr>
      <w:r>
        <w:rPr>
          <w:rFonts w:ascii="仿宋" w:hAnsi="仿宋" w:cs="仿宋"/>
          <w:sz w:val="24"/>
        </w:rPr>
        <w:t>数据使用场景</w:t>
      </w:r>
      <w:r>
        <w:rPr>
          <w:rFonts w:hint="eastAsia" w:ascii="仿宋" w:hAnsi="仿宋" w:cs="仿宋"/>
          <w:sz w:val="24"/>
        </w:rPr>
        <w:t>主要分为内部使用和外部使用。针对数据的不同使用场景，结合提取的数据量大小以及数据的敏感级别，分别制定相应的数据使用申请审批管理流程。</w:t>
      </w:r>
    </w:p>
    <w:p>
      <w:pPr>
        <w:pStyle w:val="28"/>
        <w:ind w:left="0"/>
        <w:rPr>
          <w:rFonts w:ascii="仿宋" w:hAnsi="仿宋" w:cs="仿宋"/>
          <w:sz w:val="24"/>
        </w:rPr>
      </w:pPr>
      <w:r>
        <w:rPr>
          <w:rFonts w:hint="eastAsia" w:ascii="仿宋" w:hAnsi="仿宋" w:cs="仿宋"/>
          <w:sz w:val="24"/>
        </w:rPr>
        <w:t>内部使用申请审批管理</w:t>
      </w:r>
    </w:p>
    <w:p>
      <w:pPr>
        <w:numPr>
          <w:ilvl w:val="2"/>
          <w:numId w:val="70"/>
        </w:numPr>
        <w:spacing w:line="360" w:lineRule="auto"/>
        <w:rPr>
          <w:rFonts w:ascii="仿宋" w:hAnsi="仿宋" w:eastAsia="仿宋" w:cs="仿宋"/>
          <w:sz w:val="24"/>
        </w:rPr>
      </w:pPr>
      <w:r>
        <w:rPr>
          <w:rFonts w:hint="eastAsia" w:ascii="仿宋" w:hAnsi="仿宋" w:eastAsia="仿宋" w:cs="仿宋"/>
          <w:sz w:val="24"/>
        </w:rPr>
        <w:t xml:space="preserve"> 涉及“敏感数据”的权限申请、访问获取等流程必须经过相应授权审批，并且数据的访问和使用只能用于已明确授权的用途。数据的申请、审批、使用应遵循以下要求： </w:t>
      </w:r>
    </w:p>
    <w:p>
      <w:pPr>
        <w:pStyle w:val="36"/>
        <w:numPr>
          <w:ilvl w:val="0"/>
          <w:numId w:val="7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禁止外包人员申请公司的</w:t>
      </w:r>
      <w:r>
        <w:rPr>
          <w:rFonts w:ascii="仿宋" w:hAnsi="仿宋" w:eastAsia="仿宋" w:cs="仿宋"/>
          <w:color w:val="000000"/>
          <w:kern w:val="0"/>
          <w:sz w:val="24"/>
          <w:lang w:bidi="ar"/>
        </w:rPr>
        <w:t xml:space="preserve">C3、C4 数据权限。 </w:t>
      </w:r>
    </w:p>
    <w:p>
      <w:pPr>
        <w:pStyle w:val="36"/>
        <w:numPr>
          <w:ilvl w:val="0"/>
          <w:numId w:val="7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外包人员的临时权限有效期不得超过</w:t>
      </w:r>
      <w:r>
        <w:rPr>
          <w:rFonts w:ascii="仿宋" w:hAnsi="仿宋" w:eastAsia="仿宋" w:cs="仿宋"/>
          <w:color w:val="000000"/>
          <w:kern w:val="0"/>
          <w:sz w:val="24"/>
          <w:lang w:bidi="ar"/>
        </w:rPr>
        <w:t>3个月。</w:t>
      </w:r>
    </w:p>
    <w:p>
      <w:pPr>
        <w:pStyle w:val="36"/>
        <w:numPr>
          <w:ilvl w:val="0"/>
          <w:numId w:val="7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应用系统之间的数据交互权限申请默认为长期权限，不需要设置有效期。</w:t>
      </w:r>
    </w:p>
    <w:p>
      <w:pPr>
        <w:pStyle w:val="36"/>
        <w:numPr>
          <w:ilvl w:val="0"/>
          <w:numId w:val="71"/>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生产数据不得明文导入测试环境使用。</w:t>
      </w:r>
      <w:r>
        <w:rPr>
          <w:rFonts w:ascii="仿宋" w:hAnsi="仿宋" w:eastAsia="仿宋" w:cs="仿宋"/>
          <w:color w:val="000000"/>
          <w:kern w:val="0"/>
          <w:sz w:val="24"/>
          <w:lang w:bidi="ar"/>
        </w:rPr>
        <w:t xml:space="preserve"> </w:t>
      </w:r>
    </w:p>
    <w:p>
      <w:pPr>
        <w:numPr>
          <w:ilvl w:val="2"/>
          <w:numId w:val="70"/>
        </w:numPr>
        <w:spacing w:line="360" w:lineRule="auto"/>
        <w:rPr>
          <w:rFonts w:ascii="仿宋" w:hAnsi="仿宋" w:eastAsia="仿宋" w:cs="仿宋"/>
          <w:sz w:val="24"/>
        </w:rPr>
      </w:pPr>
      <w:r>
        <w:rPr>
          <w:rFonts w:hint="eastAsia" w:ascii="仿宋" w:hAnsi="仿宋" w:eastAsia="仿宋" w:cs="仿宋"/>
          <w:sz w:val="24"/>
        </w:rPr>
        <w:t xml:space="preserve"> 数据的内部使用包括申请本部门数据或申请目标部门数据，具体申请审批流程如图3所示： </w:t>
      </w:r>
    </w:p>
    <w:p>
      <w:pPr>
        <w:spacing w:line="360" w:lineRule="auto"/>
        <w:ind w:left="993"/>
        <w:jc w:val="center"/>
        <w:rPr>
          <w:rFonts w:ascii="仿宋" w:hAnsi="仿宋" w:eastAsia="仿宋" w:cs="仿宋"/>
          <w:sz w:val="24"/>
        </w:rPr>
      </w:pPr>
      <w:r>
        <w:rPr>
          <w:rFonts w:hint="eastAsia" w:ascii="仿宋" w:hAnsi="仿宋" w:eastAsia="仿宋" w:cs="仿宋"/>
          <w:sz w:val="24"/>
        </w:rPr>
        <w:object>
          <v:shape id="_x0000_i1025" o:spt="75" type="#_x0000_t75" style="height:648.75pt;width:367.5pt;" o:ole="t" filled="f" o:preferrelative="t" stroked="f" coordsize="21600,21600">
            <v:path/>
            <v:fill on="f" focussize="0,0"/>
            <v:stroke on="f" joinstyle="miter"/>
            <v:imagedata r:id="rId13" o:title=""/>
            <o:lock v:ext="edit" aspectratio="t"/>
            <w10:wrap type="none"/>
            <w10:anchorlock/>
          </v:shape>
          <o:OLEObject Type="Embed" ProgID="Visio.Drawing.15" ShapeID="_x0000_i1025" DrawAspect="Content" ObjectID="_1468075725" r:id="rId12">
            <o:LockedField>false</o:LockedField>
          </o:OLEObject>
        </w:object>
      </w:r>
    </w:p>
    <w:p>
      <w:pPr>
        <w:pStyle w:val="7"/>
        <w:jc w:val="center"/>
        <w:rPr>
          <w:rFonts w:ascii="仿宋" w:hAnsi="仿宋" w:eastAsia="仿宋" w:cs="仿宋"/>
          <w:sz w:val="21"/>
          <w:szCs w:val="21"/>
        </w:rPr>
      </w:pPr>
      <w:r>
        <w:rPr>
          <w:rFonts w:hint="eastAsia" w:ascii="仿宋" w:hAnsi="仿宋" w:eastAsia="仿宋" w:cs="仿宋"/>
          <w:sz w:val="21"/>
          <w:szCs w:val="21"/>
        </w:rPr>
        <w:t xml:space="preserve">图 </w:t>
      </w:r>
      <w:r>
        <w:rPr>
          <w:rFonts w:ascii="仿宋" w:hAnsi="仿宋" w:eastAsia="仿宋" w:cs="仿宋"/>
          <w:sz w:val="21"/>
          <w:szCs w:val="21"/>
        </w:rPr>
        <w:fldChar w:fldCharType="begin"/>
      </w:r>
      <w:r>
        <w:rPr>
          <w:rFonts w:ascii="仿宋" w:hAnsi="仿宋" w:eastAsia="仿宋" w:cs="仿宋"/>
          <w:sz w:val="21"/>
          <w:szCs w:val="21"/>
        </w:rPr>
        <w:instrText xml:space="preserve"> </w:instrText>
      </w:r>
      <w:r>
        <w:rPr>
          <w:rFonts w:hint="eastAsia" w:ascii="仿宋" w:hAnsi="仿宋" w:eastAsia="仿宋" w:cs="仿宋"/>
          <w:sz w:val="21"/>
          <w:szCs w:val="21"/>
        </w:rPr>
        <w:instrText xml:space="preserve">SEQ 图 \* ARABIC</w:instrText>
      </w:r>
      <w:r>
        <w:rPr>
          <w:rFonts w:ascii="仿宋" w:hAnsi="仿宋" w:eastAsia="仿宋" w:cs="仿宋"/>
          <w:sz w:val="21"/>
          <w:szCs w:val="21"/>
        </w:rPr>
        <w:instrText xml:space="preserve"> </w:instrText>
      </w:r>
      <w:r>
        <w:rPr>
          <w:rFonts w:ascii="仿宋" w:hAnsi="仿宋" w:eastAsia="仿宋" w:cs="仿宋"/>
          <w:sz w:val="21"/>
          <w:szCs w:val="21"/>
        </w:rPr>
        <w:fldChar w:fldCharType="separate"/>
      </w:r>
      <w:r>
        <w:rPr>
          <w:rFonts w:ascii="仿宋" w:hAnsi="仿宋" w:eastAsia="仿宋" w:cs="仿宋"/>
          <w:sz w:val="21"/>
          <w:szCs w:val="21"/>
        </w:rPr>
        <w:t>3</w:t>
      </w:r>
      <w:r>
        <w:rPr>
          <w:rFonts w:ascii="仿宋" w:hAnsi="仿宋" w:eastAsia="仿宋" w:cs="仿宋"/>
          <w:sz w:val="21"/>
          <w:szCs w:val="21"/>
        </w:rPr>
        <w:fldChar w:fldCharType="end"/>
      </w:r>
      <w:r>
        <w:rPr>
          <w:rFonts w:ascii="仿宋" w:hAnsi="仿宋" w:eastAsia="仿宋" w:cs="仿宋"/>
          <w:sz w:val="21"/>
          <w:szCs w:val="21"/>
        </w:rPr>
        <w:t xml:space="preserve"> 数据内部使用申请审批流程图</w:t>
      </w:r>
    </w:p>
    <w:p>
      <w:pPr>
        <w:spacing w:line="360" w:lineRule="auto"/>
        <w:rPr>
          <w:rFonts w:ascii="仿宋" w:hAnsi="仿宋" w:eastAsia="仿宋" w:cs="仿宋"/>
          <w:sz w:val="24"/>
        </w:rPr>
        <w:sectPr>
          <w:pgSz w:w="11906" w:h="16838"/>
          <w:pgMar w:top="720" w:right="720" w:bottom="720" w:left="720" w:header="851" w:footer="992" w:gutter="0"/>
          <w:cols w:space="425" w:num="1"/>
          <w:docGrid w:type="lines" w:linePitch="312" w:charSpace="0"/>
        </w:sectPr>
      </w:pPr>
    </w:p>
    <w:p>
      <w:pPr>
        <w:numPr>
          <w:ilvl w:val="2"/>
          <w:numId w:val="70"/>
        </w:numPr>
        <w:spacing w:line="360" w:lineRule="auto"/>
        <w:rPr>
          <w:rFonts w:ascii="仿宋" w:hAnsi="仿宋" w:eastAsia="仿宋" w:cs="仿宋"/>
          <w:sz w:val="24"/>
        </w:rPr>
      </w:pPr>
      <w:r>
        <w:rPr>
          <w:rFonts w:hint="eastAsia" w:ascii="仿宋" w:hAnsi="仿宋" w:eastAsia="仿宋" w:cs="仿宋"/>
          <w:sz w:val="24"/>
        </w:rPr>
        <w:t xml:space="preserve"> 申请审批流程详细描述见下表6：</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2"/>
        <w:gridCol w:w="6237"/>
        <w:gridCol w:w="2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2" w:type="dxa"/>
            <w:shd w:val="clear" w:color="auto" w:fill="D8D8D8" w:themeFill="background1" w:themeFillShade="D9"/>
            <w:vAlign w:val="center"/>
          </w:tcPr>
          <w:p>
            <w:pPr>
              <w:spacing w:line="360" w:lineRule="auto"/>
              <w:jc w:val="center"/>
              <w:rPr>
                <w:rFonts w:ascii="仿宋" w:hAnsi="仿宋" w:eastAsia="仿宋" w:cs="仿宋"/>
                <w:b/>
                <w:sz w:val="24"/>
              </w:rPr>
            </w:pPr>
            <w:r>
              <w:rPr>
                <w:rFonts w:hint="eastAsia" w:ascii="仿宋" w:hAnsi="仿宋" w:eastAsia="仿宋" w:cs="仿宋"/>
                <w:b/>
                <w:sz w:val="24"/>
              </w:rPr>
              <w:t>步骤</w:t>
            </w:r>
          </w:p>
        </w:tc>
        <w:tc>
          <w:tcPr>
            <w:tcW w:w="6237" w:type="dxa"/>
            <w:shd w:val="clear" w:color="auto" w:fill="D8D8D8" w:themeFill="background1" w:themeFillShade="D9"/>
          </w:tcPr>
          <w:p>
            <w:pPr>
              <w:spacing w:line="360" w:lineRule="auto"/>
              <w:jc w:val="center"/>
              <w:rPr>
                <w:rFonts w:ascii="仿宋" w:hAnsi="仿宋" w:eastAsia="仿宋" w:cs="仿宋"/>
                <w:b/>
                <w:sz w:val="24"/>
              </w:rPr>
            </w:pPr>
            <w:r>
              <w:rPr>
                <w:rFonts w:hint="eastAsia" w:ascii="仿宋" w:hAnsi="仿宋" w:eastAsia="仿宋" w:cs="仿宋"/>
                <w:b/>
                <w:sz w:val="24"/>
              </w:rPr>
              <w:t>任务描述</w:t>
            </w:r>
          </w:p>
        </w:tc>
        <w:tc>
          <w:tcPr>
            <w:tcW w:w="2369" w:type="dxa"/>
            <w:shd w:val="clear" w:color="auto" w:fill="D8D8D8" w:themeFill="background1" w:themeFillShade="D9"/>
          </w:tcPr>
          <w:p>
            <w:pPr>
              <w:spacing w:line="360" w:lineRule="auto"/>
              <w:jc w:val="center"/>
              <w:rPr>
                <w:rFonts w:ascii="仿宋" w:hAnsi="仿宋" w:eastAsia="仿宋" w:cs="仿宋"/>
                <w:b/>
                <w:sz w:val="24"/>
              </w:rPr>
            </w:pPr>
            <w:r>
              <w:rPr>
                <w:rFonts w:hint="eastAsia" w:ascii="仿宋" w:hAnsi="仿宋" w:eastAsia="仿宋" w:cs="仿宋"/>
                <w:b/>
                <w:sz w:val="24"/>
              </w:rPr>
              <w:t>相关负责人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2" w:type="dxa"/>
            <w:vAlign w:val="center"/>
          </w:tcPr>
          <w:p>
            <w:pPr>
              <w:spacing w:line="360" w:lineRule="auto"/>
              <w:jc w:val="center"/>
              <w:rPr>
                <w:rFonts w:ascii="仿宋" w:hAnsi="仿宋" w:eastAsia="仿宋" w:cs="仿宋"/>
                <w:sz w:val="24"/>
              </w:rPr>
            </w:pPr>
            <w:r>
              <w:rPr>
                <w:rFonts w:ascii="仿宋" w:hAnsi="仿宋" w:eastAsia="仿宋" w:cs="仿宋"/>
                <w:sz w:val="24"/>
              </w:rPr>
              <w:t>1</w:t>
            </w:r>
          </w:p>
        </w:tc>
        <w:tc>
          <w:tcPr>
            <w:tcW w:w="6237" w:type="dxa"/>
            <w:vAlign w:val="center"/>
          </w:tcPr>
          <w:p>
            <w:pPr>
              <w:numPr>
                <w:ilvl w:val="0"/>
                <w:numId w:val="72"/>
              </w:numPr>
              <w:spacing w:line="360" w:lineRule="auto"/>
              <w:rPr>
                <w:rFonts w:ascii="仿宋" w:hAnsi="仿宋" w:eastAsia="仿宋" w:cs="仿宋"/>
                <w:sz w:val="24"/>
              </w:rPr>
            </w:pPr>
            <w:r>
              <w:rPr>
                <w:rFonts w:hint="eastAsia" w:ascii="仿宋" w:hAnsi="仿宋" w:eastAsia="仿宋" w:cs="仿宋"/>
                <w:sz w:val="24"/>
              </w:rPr>
              <w:t>申请人提出数据权限申请，申请形式可以通过邮件审批，发送给相关方并抄送</w:t>
            </w:r>
            <w:r>
              <w:rPr>
                <w:rFonts w:ascii="仿宋" w:hAnsi="仿宋" w:eastAsia="仿宋" w:cs="仿宋"/>
                <w:sz w:val="24"/>
              </w:rPr>
              <w:t>数据安全管理小组邮箱。数据接口人保留数据申请邮件记录，以便后续复核；</w:t>
            </w:r>
          </w:p>
          <w:p>
            <w:pPr>
              <w:numPr>
                <w:ilvl w:val="0"/>
                <w:numId w:val="72"/>
              </w:numPr>
              <w:spacing w:line="360" w:lineRule="auto"/>
              <w:rPr>
                <w:rFonts w:ascii="仿宋" w:hAnsi="仿宋" w:eastAsia="仿宋" w:cs="仿宋"/>
                <w:sz w:val="24"/>
              </w:rPr>
            </w:pPr>
            <w:r>
              <w:rPr>
                <w:rFonts w:hint="eastAsia" w:ascii="仿宋" w:hAnsi="仿宋" w:eastAsia="仿宋" w:cs="仿宋"/>
                <w:sz w:val="24"/>
              </w:rPr>
              <w:t>申请人应当基于业务需求提出数据提取申请，申请时应说明的信息包括：申请人、申请人所在部门、申请人的岗位信息、申请字段、原因、数据预估量、使用期限、获取方式等，申请原因需详细描述，细化到项目或任务。</w:t>
            </w:r>
          </w:p>
        </w:tc>
        <w:tc>
          <w:tcPr>
            <w:tcW w:w="2369" w:type="dxa"/>
            <w:vAlign w:val="center"/>
          </w:tcPr>
          <w:p>
            <w:pPr>
              <w:spacing w:line="360" w:lineRule="auto"/>
              <w:jc w:val="center"/>
              <w:rPr>
                <w:rFonts w:ascii="仿宋" w:hAnsi="仿宋" w:eastAsia="仿宋" w:cs="仿宋"/>
                <w:sz w:val="24"/>
              </w:rPr>
            </w:pPr>
            <w:r>
              <w:rPr>
                <w:rFonts w:hint="eastAsia" w:ascii="仿宋" w:hAnsi="仿宋" w:eastAsia="仿宋" w:cs="仿宋"/>
                <w:sz w:val="24"/>
              </w:rPr>
              <w:t>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2" w:type="dxa"/>
            <w:vAlign w:val="center"/>
          </w:tcPr>
          <w:p>
            <w:pPr>
              <w:spacing w:line="360" w:lineRule="auto"/>
              <w:jc w:val="center"/>
              <w:rPr>
                <w:rFonts w:ascii="仿宋" w:hAnsi="仿宋" w:eastAsia="仿宋" w:cs="仿宋"/>
                <w:sz w:val="24"/>
              </w:rPr>
            </w:pPr>
            <w:r>
              <w:rPr>
                <w:rFonts w:ascii="仿宋" w:hAnsi="仿宋" w:eastAsia="仿宋" w:cs="仿宋"/>
                <w:sz w:val="24"/>
              </w:rPr>
              <w:t>2</w:t>
            </w:r>
          </w:p>
        </w:tc>
        <w:tc>
          <w:tcPr>
            <w:tcW w:w="6237" w:type="dxa"/>
            <w:vAlign w:val="center"/>
          </w:tcPr>
          <w:p>
            <w:pPr>
              <w:spacing w:line="360" w:lineRule="auto"/>
              <w:rPr>
                <w:rFonts w:ascii="仿宋" w:hAnsi="仿宋" w:eastAsia="仿宋" w:cs="仿宋"/>
                <w:sz w:val="24"/>
              </w:rPr>
            </w:pPr>
            <w:r>
              <w:rPr>
                <w:rFonts w:hint="eastAsia" w:ascii="仿宋" w:hAnsi="仿宋" w:eastAsia="仿宋" w:cs="仿宋"/>
                <w:sz w:val="24"/>
              </w:rPr>
              <w:t>申请人所在部门直接领导开始逐级审批，根据申请内容审核是否有此业务需要。若审核通过，则进入步骤</w:t>
            </w:r>
            <w:r>
              <w:rPr>
                <w:rFonts w:ascii="仿宋" w:hAnsi="仿宋" w:eastAsia="仿宋" w:cs="仿宋"/>
                <w:sz w:val="24"/>
              </w:rPr>
              <w:t>3；若审核不通过，则驳回申请</w:t>
            </w:r>
          </w:p>
        </w:tc>
        <w:tc>
          <w:tcPr>
            <w:tcW w:w="2369" w:type="dxa"/>
            <w:vAlign w:val="center"/>
          </w:tcPr>
          <w:p>
            <w:pPr>
              <w:spacing w:line="360" w:lineRule="auto"/>
              <w:jc w:val="center"/>
              <w:rPr>
                <w:rFonts w:ascii="仿宋" w:hAnsi="仿宋" w:eastAsia="仿宋" w:cs="仿宋"/>
                <w:sz w:val="24"/>
              </w:rPr>
            </w:pPr>
            <w:r>
              <w:rPr>
                <w:rFonts w:hint="eastAsia" w:ascii="仿宋" w:hAnsi="仿宋" w:eastAsia="仿宋" w:cs="仿宋"/>
                <w:sz w:val="24"/>
              </w:rPr>
              <w:t>申请人逐级领导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2" w:type="dxa"/>
            <w:vAlign w:val="center"/>
          </w:tcPr>
          <w:p>
            <w:pPr>
              <w:spacing w:line="360" w:lineRule="auto"/>
              <w:jc w:val="center"/>
              <w:rPr>
                <w:rFonts w:ascii="仿宋" w:hAnsi="仿宋" w:eastAsia="仿宋" w:cs="仿宋"/>
                <w:sz w:val="24"/>
              </w:rPr>
            </w:pPr>
            <w:r>
              <w:rPr>
                <w:rFonts w:ascii="仿宋" w:hAnsi="仿宋" w:eastAsia="仿宋" w:cs="仿宋"/>
                <w:sz w:val="24"/>
              </w:rPr>
              <w:t>3</w:t>
            </w:r>
          </w:p>
        </w:tc>
        <w:tc>
          <w:tcPr>
            <w:tcW w:w="6237" w:type="dxa"/>
            <w:vAlign w:val="center"/>
          </w:tcPr>
          <w:p>
            <w:pPr>
              <w:spacing w:line="360" w:lineRule="auto"/>
              <w:rPr>
                <w:rFonts w:ascii="仿宋" w:hAnsi="仿宋" w:eastAsia="仿宋" w:cs="仿宋"/>
                <w:sz w:val="24"/>
              </w:rPr>
            </w:pPr>
            <w:r>
              <w:rPr>
                <w:rFonts w:hint="eastAsia" w:ascii="仿宋" w:hAnsi="仿宋" w:eastAsia="仿宋" w:cs="仿宋"/>
                <w:sz w:val="24"/>
              </w:rPr>
              <w:t>本部门一级数据接口人对申请的必要性、合理性进行审批。如不通过，则驳回申请；如通过，则需要继续判断是否跨部门提取数据。如涉及跨部门提取，则进入步骤</w:t>
            </w:r>
            <w:r>
              <w:rPr>
                <w:rFonts w:ascii="仿宋" w:hAnsi="仿宋" w:eastAsia="仿宋" w:cs="仿宋"/>
                <w:sz w:val="24"/>
              </w:rPr>
              <w:t>4；如不涉及跨部门提取，则需要继续判断是否涉及C3、C4级别数据。如涉及，则进入步骤5；如不涉及，则直接进入步骤6</w:t>
            </w:r>
          </w:p>
        </w:tc>
        <w:tc>
          <w:tcPr>
            <w:tcW w:w="2369" w:type="dxa"/>
            <w:vAlign w:val="center"/>
          </w:tcPr>
          <w:p>
            <w:pPr>
              <w:spacing w:line="360" w:lineRule="auto"/>
              <w:jc w:val="center"/>
              <w:rPr>
                <w:rFonts w:ascii="仿宋" w:hAnsi="仿宋" w:eastAsia="仿宋" w:cs="仿宋"/>
                <w:sz w:val="24"/>
              </w:rPr>
            </w:pPr>
            <w:r>
              <w:rPr>
                <w:rFonts w:hint="eastAsia" w:ascii="仿宋" w:hAnsi="仿宋" w:eastAsia="仿宋" w:cs="仿宋"/>
                <w:sz w:val="24"/>
              </w:rPr>
              <w:t>本部门一级数据接口人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2" w:type="dxa"/>
            <w:vAlign w:val="center"/>
          </w:tcPr>
          <w:p>
            <w:pPr>
              <w:spacing w:line="360" w:lineRule="auto"/>
              <w:jc w:val="center"/>
              <w:rPr>
                <w:rFonts w:ascii="仿宋" w:hAnsi="仿宋" w:eastAsia="仿宋" w:cs="仿宋"/>
                <w:sz w:val="24"/>
              </w:rPr>
            </w:pPr>
            <w:r>
              <w:rPr>
                <w:rFonts w:ascii="仿宋" w:hAnsi="仿宋" w:eastAsia="仿宋" w:cs="仿宋"/>
                <w:sz w:val="24"/>
              </w:rPr>
              <w:t>4</w:t>
            </w:r>
          </w:p>
        </w:tc>
        <w:tc>
          <w:tcPr>
            <w:tcW w:w="6237" w:type="dxa"/>
            <w:vAlign w:val="center"/>
          </w:tcPr>
          <w:p>
            <w:pPr>
              <w:spacing w:line="360" w:lineRule="auto"/>
              <w:rPr>
                <w:rFonts w:ascii="仿宋" w:hAnsi="仿宋" w:eastAsia="仿宋" w:cs="仿宋"/>
                <w:sz w:val="24"/>
              </w:rPr>
            </w:pPr>
            <w:r>
              <w:rPr>
                <w:rFonts w:hint="eastAsia" w:ascii="仿宋" w:hAnsi="仿宋" w:eastAsia="仿宋" w:cs="仿宋"/>
                <w:sz w:val="24"/>
              </w:rPr>
              <w:t>目标部门一级数据接口人对申请的必要性、合理性进行审批。如不通过，则驳回申请；如通过，则需要继续判断是否涉及</w:t>
            </w:r>
            <w:r>
              <w:rPr>
                <w:rFonts w:ascii="仿宋" w:hAnsi="仿宋" w:eastAsia="仿宋" w:cs="仿宋"/>
                <w:sz w:val="24"/>
              </w:rPr>
              <w:t>C3、C4级别数据。如涉及，则进入步骤5；如不涉及，则直接进入步骤6</w:t>
            </w:r>
          </w:p>
        </w:tc>
        <w:tc>
          <w:tcPr>
            <w:tcW w:w="2369" w:type="dxa"/>
            <w:vAlign w:val="center"/>
          </w:tcPr>
          <w:p>
            <w:pPr>
              <w:spacing w:line="360" w:lineRule="auto"/>
              <w:jc w:val="center"/>
              <w:rPr>
                <w:rFonts w:ascii="仿宋" w:hAnsi="仿宋" w:eastAsia="仿宋" w:cs="仿宋"/>
                <w:sz w:val="24"/>
              </w:rPr>
            </w:pPr>
            <w:r>
              <w:rPr>
                <w:rFonts w:hint="eastAsia" w:ascii="仿宋" w:hAnsi="仿宋" w:eastAsia="仿宋" w:cs="仿宋"/>
                <w:sz w:val="24"/>
              </w:rPr>
              <w:t>目标部门一级数据接口人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2" w:type="dxa"/>
            <w:vAlign w:val="center"/>
          </w:tcPr>
          <w:p>
            <w:pPr>
              <w:spacing w:line="360" w:lineRule="auto"/>
              <w:jc w:val="center"/>
              <w:rPr>
                <w:rFonts w:ascii="仿宋" w:hAnsi="仿宋" w:eastAsia="仿宋" w:cs="仿宋"/>
                <w:sz w:val="24"/>
              </w:rPr>
            </w:pPr>
            <w:r>
              <w:rPr>
                <w:rFonts w:ascii="仿宋" w:hAnsi="仿宋" w:eastAsia="仿宋" w:cs="仿宋"/>
                <w:sz w:val="24"/>
              </w:rPr>
              <w:t>5</w:t>
            </w:r>
          </w:p>
        </w:tc>
        <w:tc>
          <w:tcPr>
            <w:tcW w:w="6237" w:type="dxa"/>
            <w:vAlign w:val="center"/>
          </w:tcPr>
          <w:p>
            <w:pPr>
              <w:spacing w:line="360" w:lineRule="auto"/>
              <w:rPr>
                <w:rFonts w:ascii="仿宋" w:hAnsi="仿宋" w:eastAsia="仿宋" w:cs="仿宋"/>
                <w:sz w:val="24"/>
              </w:rPr>
            </w:pPr>
            <w:r>
              <w:rPr>
                <w:rFonts w:hint="eastAsia" w:ascii="仿宋" w:hAnsi="仿宋" w:eastAsia="仿宋" w:cs="仿宋"/>
                <w:sz w:val="24"/>
              </w:rPr>
              <w:t>信息安全部数据安全管理小组对申请的安全性、合理性进行审批。如不通过，则驳回申请，并提出安全建议，申请人修改方案重新提交申请；如通过，则进入步骤</w:t>
            </w:r>
            <w:r>
              <w:rPr>
                <w:rFonts w:ascii="仿宋" w:hAnsi="仿宋" w:eastAsia="仿宋" w:cs="仿宋"/>
                <w:sz w:val="24"/>
              </w:rPr>
              <w:t>6</w:t>
            </w:r>
          </w:p>
        </w:tc>
        <w:tc>
          <w:tcPr>
            <w:tcW w:w="2369" w:type="dxa"/>
            <w:vAlign w:val="center"/>
          </w:tcPr>
          <w:p>
            <w:pPr>
              <w:spacing w:line="360" w:lineRule="auto"/>
              <w:jc w:val="center"/>
              <w:rPr>
                <w:rFonts w:ascii="仿宋" w:hAnsi="仿宋" w:eastAsia="仿宋" w:cs="仿宋"/>
                <w:sz w:val="24"/>
              </w:rPr>
            </w:pPr>
            <w:r>
              <w:rPr>
                <w:rFonts w:hint="eastAsia" w:ascii="仿宋" w:hAnsi="仿宋" w:eastAsia="仿宋" w:cs="仿宋"/>
                <w:sz w:val="24"/>
              </w:rPr>
              <w:t>信息安全部数据安全管理小组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2" w:type="dxa"/>
            <w:vAlign w:val="center"/>
          </w:tcPr>
          <w:p>
            <w:pPr>
              <w:spacing w:line="360" w:lineRule="auto"/>
              <w:jc w:val="center"/>
              <w:rPr>
                <w:rFonts w:ascii="仿宋" w:hAnsi="仿宋" w:eastAsia="仿宋" w:cs="仿宋"/>
                <w:sz w:val="24"/>
              </w:rPr>
            </w:pPr>
            <w:r>
              <w:rPr>
                <w:rFonts w:ascii="仿宋" w:hAnsi="仿宋" w:eastAsia="仿宋" w:cs="仿宋"/>
                <w:sz w:val="24"/>
              </w:rPr>
              <w:t>6</w:t>
            </w:r>
          </w:p>
        </w:tc>
        <w:tc>
          <w:tcPr>
            <w:tcW w:w="6237" w:type="dxa"/>
            <w:vAlign w:val="center"/>
          </w:tcPr>
          <w:p>
            <w:pPr>
              <w:spacing w:line="360" w:lineRule="auto"/>
              <w:rPr>
                <w:rFonts w:ascii="仿宋" w:hAnsi="仿宋" w:eastAsia="仿宋" w:cs="仿宋"/>
                <w:sz w:val="24"/>
              </w:rPr>
            </w:pPr>
            <w:r>
              <w:rPr>
                <w:rFonts w:hint="eastAsia" w:ascii="仿宋" w:hAnsi="仿宋" w:eastAsia="仿宋" w:cs="仿宋"/>
                <w:sz w:val="24"/>
              </w:rPr>
              <w:t>技术人员根据审批结果，按要求提供技术支持，提供数据，流程结束。</w:t>
            </w:r>
          </w:p>
        </w:tc>
        <w:tc>
          <w:tcPr>
            <w:tcW w:w="2369" w:type="dxa"/>
            <w:vAlign w:val="center"/>
          </w:tcPr>
          <w:p>
            <w:pPr>
              <w:keepNext/>
              <w:spacing w:line="360" w:lineRule="auto"/>
              <w:jc w:val="center"/>
              <w:rPr>
                <w:rFonts w:ascii="仿宋" w:hAnsi="仿宋" w:eastAsia="仿宋" w:cs="仿宋"/>
                <w:sz w:val="24"/>
              </w:rPr>
            </w:pPr>
            <w:r>
              <w:rPr>
                <w:rFonts w:ascii="仿宋" w:hAnsi="仿宋" w:eastAsia="仿宋" w:cs="仿宋"/>
                <w:sz w:val="24"/>
              </w:rPr>
              <w:t>DBA、大数据等技术人员</w:t>
            </w:r>
          </w:p>
        </w:tc>
      </w:tr>
    </w:tbl>
    <w:p>
      <w:pPr>
        <w:pStyle w:val="7"/>
        <w:jc w:val="center"/>
        <w:rPr>
          <w:rFonts w:ascii="仿宋" w:hAnsi="仿宋" w:eastAsia="仿宋" w:cs="仿宋"/>
          <w:sz w:val="21"/>
          <w:szCs w:val="21"/>
        </w:rPr>
      </w:pPr>
      <w:r>
        <w:rPr>
          <w:rFonts w:hint="eastAsia" w:ascii="仿宋" w:hAnsi="仿宋" w:eastAsia="仿宋" w:cs="仿宋"/>
          <w:sz w:val="21"/>
          <w:szCs w:val="21"/>
        </w:rPr>
        <w:t xml:space="preserve">表 </w:t>
      </w:r>
      <w:r>
        <w:rPr>
          <w:rFonts w:ascii="仿宋" w:hAnsi="仿宋" w:eastAsia="仿宋" w:cs="仿宋"/>
          <w:sz w:val="21"/>
          <w:szCs w:val="21"/>
        </w:rPr>
        <w:fldChar w:fldCharType="begin"/>
      </w:r>
      <w:r>
        <w:rPr>
          <w:rFonts w:ascii="仿宋" w:hAnsi="仿宋" w:eastAsia="仿宋" w:cs="仿宋"/>
          <w:sz w:val="21"/>
          <w:szCs w:val="21"/>
        </w:rPr>
        <w:instrText xml:space="preserve"> </w:instrText>
      </w:r>
      <w:r>
        <w:rPr>
          <w:rFonts w:hint="eastAsia" w:ascii="仿宋" w:hAnsi="仿宋" w:eastAsia="仿宋" w:cs="仿宋"/>
          <w:sz w:val="21"/>
          <w:szCs w:val="21"/>
        </w:rPr>
        <w:instrText xml:space="preserve">SEQ 表 \* ARABIC</w:instrText>
      </w:r>
      <w:r>
        <w:rPr>
          <w:rFonts w:ascii="仿宋" w:hAnsi="仿宋" w:eastAsia="仿宋" w:cs="仿宋"/>
          <w:sz w:val="21"/>
          <w:szCs w:val="21"/>
        </w:rPr>
        <w:instrText xml:space="preserve"> </w:instrText>
      </w:r>
      <w:r>
        <w:rPr>
          <w:rFonts w:ascii="仿宋" w:hAnsi="仿宋" w:eastAsia="仿宋" w:cs="仿宋"/>
          <w:sz w:val="21"/>
          <w:szCs w:val="21"/>
        </w:rPr>
        <w:fldChar w:fldCharType="separate"/>
      </w:r>
      <w:r>
        <w:rPr>
          <w:rFonts w:ascii="仿宋" w:hAnsi="仿宋" w:eastAsia="仿宋" w:cs="仿宋"/>
          <w:sz w:val="21"/>
          <w:szCs w:val="21"/>
        </w:rPr>
        <w:t>6</w:t>
      </w:r>
      <w:r>
        <w:rPr>
          <w:rFonts w:ascii="仿宋" w:hAnsi="仿宋" w:eastAsia="仿宋" w:cs="仿宋"/>
          <w:sz w:val="21"/>
          <w:szCs w:val="21"/>
        </w:rPr>
        <w:fldChar w:fldCharType="end"/>
      </w:r>
      <w:r>
        <w:rPr>
          <w:rFonts w:hint="eastAsia" w:ascii="仿宋" w:hAnsi="仿宋" w:eastAsia="仿宋" w:cs="仿宋"/>
          <w:sz w:val="21"/>
          <w:szCs w:val="21"/>
        </w:rPr>
        <w:t>数据内部使用申请审批流程</w:t>
      </w:r>
    </w:p>
    <w:p>
      <w:pPr>
        <w:pStyle w:val="28"/>
        <w:ind w:left="0"/>
        <w:rPr>
          <w:rFonts w:ascii="仿宋" w:hAnsi="仿宋" w:cs="仿宋"/>
          <w:sz w:val="24"/>
        </w:rPr>
      </w:pPr>
      <w:r>
        <w:rPr>
          <w:rFonts w:hint="eastAsia" w:ascii="仿宋" w:hAnsi="仿宋" w:cs="仿宋"/>
          <w:sz w:val="24"/>
        </w:rPr>
        <w:t>外部使用申请审批管理</w:t>
      </w:r>
    </w:p>
    <w:p>
      <w:pPr>
        <w:numPr>
          <w:ilvl w:val="2"/>
          <w:numId w:val="73"/>
        </w:numPr>
        <w:spacing w:line="360" w:lineRule="auto"/>
        <w:rPr>
          <w:rFonts w:ascii="仿宋" w:hAnsi="仿宋" w:eastAsia="仿宋" w:cs="仿宋"/>
          <w:sz w:val="24"/>
        </w:rPr>
      </w:pPr>
      <w:r>
        <w:rPr>
          <w:rFonts w:hint="eastAsia" w:ascii="仿宋" w:hAnsi="仿宋" w:eastAsia="仿宋" w:cs="仿宋"/>
          <w:sz w:val="24"/>
        </w:rPr>
        <w:t xml:space="preserve"> 外部使用指申请数据共享给其他个人信息处理者，或者开放接口与第三方进行数据交互，或数据接口合作，或者向监管单位报送数据等情况，数据对外使用需遵循以下安全要求： </w:t>
      </w:r>
    </w:p>
    <w:p>
      <w:pPr>
        <w:pStyle w:val="36"/>
        <w:numPr>
          <w:ilvl w:val="0"/>
          <w:numId w:val="74"/>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除向监管单位报送的特殊情况外，</w:t>
      </w:r>
      <w:r>
        <w:rPr>
          <w:rFonts w:ascii="仿宋" w:hAnsi="仿宋" w:eastAsia="仿宋" w:cs="仿宋"/>
          <w:color w:val="000000"/>
          <w:kern w:val="0"/>
          <w:sz w:val="24"/>
          <w:lang w:bidi="ar"/>
        </w:rPr>
        <w:t xml:space="preserve">C3、C4 级别的敏感数据必须脱敏后提供给第三方，并且不能被逆向破解。 </w:t>
      </w:r>
    </w:p>
    <w:p>
      <w:pPr>
        <w:pStyle w:val="36"/>
        <w:numPr>
          <w:ilvl w:val="0"/>
          <w:numId w:val="74"/>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敏感数据脱敏展示必须在服务器端进行脱敏处理，禁止在客户端脱敏屏蔽。</w:t>
      </w:r>
      <w:r>
        <w:rPr>
          <w:rFonts w:ascii="仿宋" w:hAnsi="仿宋" w:eastAsia="仿宋" w:cs="仿宋"/>
          <w:color w:val="000000"/>
          <w:kern w:val="0"/>
          <w:sz w:val="24"/>
          <w:lang w:bidi="ar"/>
        </w:rPr>
        <w:t xml:space="preserve"> </w:t>
      </w:r>
    </w:p>
    <w:p>
      <w:pPr>
        <w:pStyle w:val="36"/>
        <w:numPr>
          <w:ilvl w:val="0"/>
          <w:numId w:val="74"/>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第三方访问公司的</w:t>
      </w:r>
      <w:r>
        <w:rPr>
          <w:rFonts w:ascii="仿宋" w:hAnsi="仿宋" w:eastAsia="仿宋" w:cs="仿宋"/>
          <w:color w:val="000000"/>
          <w:kern w:val="0"/>
          <w:sz w:val="24"/>
          <w:lang w:bidi="ar"/>
        </w:rPr>
        <w:t xml:space="preserve"> C3、C4 级数据，必须签订保密合同，同时由信息安全部数据安全小组审阅数据安全保护措施及脱敏情况后方可以交互。 </w:t>
      </w:r>
    </w:p>
    <w:p>
      <w:pPr>
        <w:pStyle w:val="36"/>
        <w:numPr>
          <w:ilvl w:val="0"/>
          <w:numId w:val="74"/>
        </w:numPr>
        <w:spacing w:line="360" w:lineRule="auto"/>
        <w:ind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共享给第三方的数据提供给第三方后，申请过程中接触到数据的人员应及时从其办公电脑中永久删除，最长不得超过</w:t>
      </w:r>
      <w:r>
        <w:rPr>
          <w:rFonts w:ascii="仿宋" w:hAnsi="仿宋" w:eastAsia="仿宋" w:cs="仿宋"/>
          <w:color w:val="000000"/>
          <w:kern w:val="0"/>
          <w:sz w:val="24"/>
          <w:lang w:bidi="ar"/>
        </w:rPr>
        <w:t xml:space="preserve">30天。 </w:t>
      </w:r>
    </w:p>
    <w:p>
      <w:pPr>
        <w:pStyle w:val="36"/>
        <w:spacing w:line="360" w:lineRule="auto"/>
        <w:ind w:left="1200" w:firstLine="0" w:firstLineChars="0"/>
        <w:rPr>
          <w:rFonts w:ascii="仿宋" w:hAnsi="仿宋" w:eastAsia="仿宋" w:cs="仿宋"/>
          <w:color w:val="000000"/>
          <w:kern w:val="0"/>
          <w:sz w:val="24"/>
          <w:lang w:bidi="ar"/>
        </w:rPr>
        <w:sectPr>
          <w:pgSz w:w="11906" w:h="16838"/>
          <w:pgMar w:top="720" w:right="720" w:bottom="720" w:left="720" w:header="851" w:footer="992" w:gutter="0"/>
          <w:cols w:space="425" w:num="1"/>
          <w:docGrid w:type="lines" w:linePitch="312" w:charSpace="0"/>
        </w:sectPr>
      </w:pPr>
    </w:p>
    <w:p>
      <w:pPr>
        <w:numPr>
          <w:ilvl w:val="2"/>
          <w:numId w:val="73"/>
        </w:numPr>
        <w:spacing w:line="360" w:lineRule="auto"/>
        <w:rPr>
          <w:rFonts w:ascii="仿宋" w:hAnsi="仿宋" w:eastAsia="仿宋" w:cs="仿宋"/>
          <w:sz w:val="24"/>
        </w:rPr>
      </w:pPr>
      <w:r>
        <w:rPr>
          <w:rFonts w:hint="eastAsia" w:ascii="仿宋" w:hAnsi="仿宋" w:eastAsia="仿宋" w:cs="仿宋"/>
          <w:sz w:val="24"/>
        </w:rPr>
        <w:t xml:space="preserve"> 数据的外部使用具体申请审批流程如图4所示： </w:t>
      </w:r>
    </w:p>
    <w:p>
      <w:pPr>
        <w:spacing w:line="360" w:lineRule="auto"/>
        <w:ind w:left="993"/>
        <w:jc w:val="center"/>
        <w:rPr>
          <w:rFonts w:ascii="仿宋" w:hAnsi="仿宋" w:eastAsia="仿宋" w:cs="仿宋"/>
          <w:sz w:val="24"/>
        </w:rPr>
      </w:pPr>
      <w:r>
        <w:rPr>
          <w:rFonts w:hint="eastAsia" w:ascii="仿宋" w:hAnsi="仿宋" w:eastAsia="仿宋" w:cs="仿宋"/>
          <w:sz w:val="24"/>
        </w:rPr>
        <w:object>
          <v:shape id="_x0000_i1026" o:spt="75" type="#_x0000_t75" style="height:600pt;width:350.25pt;" o:ole="t" filled="f" o:preferrelative="t" stroked="f" coordsize="21600,21600">
            <v:path/>
            <v:fill on="f" focussize="0,0"/>
            <v:stroke on="f" joinstyle="miter"/>
            <v:imagedata r:id="rId15" o:title=""/>
            <o:lock v:ext="edit" aspectratio="t"/>
            <w10:wrap type="none"/>
            <w10:anchorlock/>
          </v:shape>
          <o:OLEObject Type="Embed" ProgID="Visio.Drawing.15" ShapeID="_x0000_i1026" DrawAspect="Content" ObjectID="_1468075726" r:id="rId14">
            <o:LockedField>false</o:LockedField>
          </o:OLEObject>
        </w:object>
      </w:r>
    </w:p>
    <w:p>
      <w:pPr>
        <w:pStyle w:val="7"/>
        <w:jc w:val="center"/>
        <w:rPr>
          <w:rFonts w:ascii="仿宋" w:hAnsi="仿宋" w:eastAsia="仿宋" w:cs="仿宋"/>
          <w:sz w:val="21"/>
          <w:szCs w:val="21"/>
        </w:rPr>
      </w:pPr>
      <w:r>
        <w:rPr>
          <w:rFonts w:hint="eastAsia" w:ascii="仿宋" w:hAnsi="仿宋" w:eastAsia="仿宋" w:cs="仿宋"/>
          <w:sz w:val="21"/>
          <w:szCs w:val="21"/>
        </w:rPr>
        <w:t xml:space="preserve">图 </w:t>
      </w:r>
      <w:r>
        <w:rPr>
          <w:rFonts w:ascii="仿宋" w:hAnsi="仿宋" w:eastAsia="仿宋" w:cs="仿宋"/>
          <w:sz w:val="21"/>
          <w:szCs w:val="21"/>
        </w:rPr>
        <w:fldChar w:fldCharType="begin"/>
      </w:r>
      <w:r>
        <w:rPr>
          <w:rFonts w:ascii="仿宋" w:hAnsi="仿宋" w:eastAsia="仿宋" w:cs="仿宋"/>
          <w:sz w:val="21"/>
          <w:szCs w:val="21"/>
        </w:rPr>
        <w:instrText xml:space="preserve"> </w:instrText>
      </w:r>
      <w:r>
        <w:rPr>
          <w:rFonts w:hint="eastAsia" w:ascii="仿宋" w:hAnsi="仿宋" w:eastAsia="仿宋" w:cs="仿宋"/>
          <w:sz w:val="21"/>
          <w:szCs w:val="21"/>
        </w:rPr>
        <w:instrText xml:space="preserve">SEQ 图 \* ARABIC</w:instrText>
      </w:r>
      <w:r>
        <w:rPr>
          <w:rFonts w:ascii="仿宋" w:hAnsi="仿宋" w:eastAsia="仿宋" w:cs="仿宋"/>
          <w:sz w:val="21"/>
          <w:szCs w:val="21"/>
        </w:rPr>
        <w:instrText xml:space="preserve"> </w:instrText>
      </w:r>
      <w:r>
        <w:rPr>
          <w:rFonts w:ascii="仿宋" w:hAnsi="仿宋" w:eastAsia="仿宋" w:cs="仿宋"/>
          <w:sz w:val="21"/>
          <w:szCs w:val="21"/>
        </w:rPr>
        <w:fldChar w:fldCharType="separate"/>
      </w:r>
      <w:r>
        <w:rPr>
          <w:rFonts w:ascii="仿宋" w:hAnsi="仿宋" w:eastAsia="仿宋" w:cs="仿宋"/>
          <w:sz w:val="21"/>
          <w:szCs w:val="21"/>
        </w:rPr>
        <w:t>4</w:t>
      </w:r>
      <w:r>
        <w:rPr>
          <w:rFonts w:ascii="仿宋" w:hAnsi="仿宋" w:eastAsia="仿宋" w:cs="仿宋"/>
          <w:sz w:val="21"/>
          <w:szCs w:val="21"/>
        </w:rPr>
        <w:fldChar w:fldCharType="end"/>
      </w:r>
      <w:r>
        <w:rPr>
          <w:rFonts w:ascii="仿宋" w:hAnsi="仿宋" w:eastAsia="仿宋" w:cs="仿宋"/>
          <w:sz w:val="21"/>
          <w:szCs w:val="21"/>
        </w:rPr>
        <w:t xml:space="preserve"> 数据外部使用申请审批流程图</w:t>
      </w:r>
    </w:p>
    <w:p>
      <w:pPr>
        <w:spacing w:line="360" w:lineRule="auto"/>
        <w:ind w:left="993"/>
        <w:rPr>
          <w:rFonts w:ascii="仿宋" w:hAnsi="仿宋" w:eastAsia="仿宋" w:cs="仿宋"/>
          <w:sz w:val="24"/>
          <w:lang w:bidi="ar"/>
        </w:rPr>
        <w:sectPr>
          <w:pgSz w:w="11906" w:h="16838"/>
          <w:pgMar w:top="720" w:right="720" w:bottom="720" w:left="720" w:header="851" w:footer="992" w:gutter="0"/>
          <w:cols w:space="425" w:num="1"/>
          <w:docGrid w:type="lines" w:linePitch="312" w:charSpace="0"/>
        </w:sectPr>
      </w:pPr>
    </w:p>
    <w:p>
      <w:pPr>
        <w:spacing w:line="360" w:lineRule="auto"/>
        <w:rPr>
          <w:rFonts w:ascii="仿宋" w:hAnsi="仿宋" w:eastAsia="仿宋" w:cs="仿宋"/>
          <w:sz w:val="24"/>
          <w:lang w:bidi="ar"/>
        </w:rPr>
      </w:pPr>
    </w:p>
    <w:p>
      <w:pPr>
        <w:numPr>
          <w:ilvl w:val="2"/>
          <w:numId w:val="73"/>
        </w:numPr>
        <w:spacing w:line="360" w:lineRule="auto"/>
        <w:rPr>
          <w:rFonts w:ascii="仿宋" w:hAnsi="仿宋" w:eastAsia="仿宋" w:cs="仿宋"/>
          <w:color w:val="000000"/>
          <w:kern w:val="0"/>
          <w:sz w:val="24"/>
          <w:lang w:bidi="ar"/>
        </w:rPr>
      </w:pPr>
      <w:r>
        <w:rPr>
          <w:rFonts w:hint="eastAsia" w:ascii="仿宋" w:hAnsi="仿宋" w:eastAsia="仿宋" w:cs="仿宋"/>
          <w:sz w:val="24"/>
        </w:rPr>
        <w:t>申请审批流程详细描述见下表</w:t>
      </w:r>
      <w:r>
        <w:rPr>
          <w:rFonts w:ascii="仿宋" w:hAnsi="仿宋" w:eastAsia="仿宋" w:cs="仿宋"/>
          <w:sz w:val="24"/>
        </w:rPr>
        <w:t>7：</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6662"/>
        <w:gridCol w:w="2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shd w:val="clear" w:color="auto" w:fill="D8D8D8" w:themeFill="background1" w:themeFillShade="D9"/>
            <w:vAlign w:val="center"/>
          </w:tcPr>
          <w:p>
            <w:pPr>
              <w:spacing w:line="360" w:lineRule="auto"/>
              <w:jc w:val="center"/>
              <w:rPr>
                <w:rFonts w:ascii="仿宋" w:hAnsi="仿宋" w:eastAsia="仿宋" w:cs="仿宋"/>
                <w:b/>
                <w:lang w:bidi="ar"/>
              </w:rPr>
            </w:pPr>
            <w:r>
              <w:rPr>
                <w:rFonts w:hint="eastAsia" w:ascii="仿宋" w:hAnsi="仿宋" w:eastAsia="仿宋" w:cs="仿宋"/>
                <w:b/>
                <w:lang w:bidi="ar"/>
              </w:rPr>
              <w:t>步骤</w:t>
            </w:r>
          </w:p>
        </w:tc>
        <w:tc>
          <w:tcPr>
            <w:tcW w:w="6662" w:type="dxa"/>
            <w:shd w:val="clear" w:color="auto" w:fill="D8D8D8" w:themeFill="background1" w:themeFillShade="D9"/>
          </w:tcPr>
          <w:p>
            <w:pPr>
              <w:spacing w:line="360" w:lineRule="auto"/>
              <w:jc w:val="center"/>
              <w:rPr>
                <w:rFonts w:ascii="仿宋" w:hAnsi="仿宋" w:eastAsia="仿宋" w:cs="仿宋"/>
                <w:b/>
                <w:lang w:bidi="ar"/>
              </w:rPr>
            </w:pPr>
            <w:r>
              <w:rPr>
                <w:rFonts w:hint="eastAsia" w:ascii="仿宋" w:hAnsi="仿宋" w:eastAsia="仿宋" w:cs="仿宋"/>
                <w:b/>
                <w:lang w:bidi="ar"/>
              </w:rPr>
              <w:t>任务描述</w:t>
            </w:r>
          </w:p>
        </w:tc>
        <w:tc>
          <w:tcPr>
            <w:tcW w:w="2494" w:type="dxa"/>
            <w:shd w:val="clear" w:color="auto" w:fill="D8D8D8" w:themeFill="background1" w:themeFillShade="D9"/>
          </w:tcPr>
          <w:p>
            <w:pPr>
              <w:spacing w:line="360" w:lineRule="auto"/>
              <w:jc w:val="center"/>
              <w:rPr>
                <w:rFonts w:ascii="仿宋" w:hAnsi="仿宋" w:eastAsia="仿宋" w:cs="仿宋"/>
                <w:b/>
                <w:lang w:bidi="ar"/>
              </w:rPr>
            </w:pPr>
            <w:r>
              <w:rPr>
                <w:rFonts w:hint="eastAsia" w:ascii="仿宋" w:hAnsi="仿宋" w:eastAsia="仿宋" w:cs="仿宋"/>
                <w:b/>
                <w:lang w:bidi="ar"/>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spacing w:line="360" w:lineRule="auto"/>
              <w:jc w:val="center"/>
              <w:rPr>
                <w:rFonts w:ascii="仿宋" w:hAnsi="仿宋" w:eastAsia="仿宋" w:cs="仿宋"/>
                <w:lang w:bidi="ar"/>
              </w:rPr>
            </w:pPr>
            <w:r>
              <w:rPr>
                <w:rFonts w:ascii="仿宋" w:hAnsi="仿宋" w:eastAsia="仿宋" w:cs="仿宋"/>
                <w:sz w:val="24"/>
              </w:rPr>
              <w:t>1</w:t>
            </w:r>
          </w:p>
        </w:tc>
        <w:tc>
          <w:tcPr>
            <w:tcW w:w="6662" w:type="dxa"/>
            <w:vAlign w:val="center"/>
          </w:tcPr>
          <w:p>
            <w:pPr>
              <w:numPr>
                <w:ilvl w:val="0"/>
                <w:numId w:val="75"/>
              </w:numPr>
              <w:spacing w:line="360" w:lineRule="auto"/>
              <w:rPr>
                <w:rFonts w:ascii="仿宋" w:hAnsi="仿宋" w:eastAsia="仿宋" w:cs="仿宋"/>
                <w:sz w:val="24"/>
              </w:rPr>
            </w:pPr>
            <w:r>
              <w:rPr>
                <w:rFonts w:hint="eastAsia" w:ascii="仿宋" w:hAnsi="仿宋" w:eastAsia="仿宋" w:cs="仿宋"/>
                <w:sz w:val="24"/>
              </w:rPr>
              <w:t>申请人应当基于业务需求提出数据提取申请。申请形式可以通过邮件审批，抄送给</w:t>
            </w:r>
            <w:r>
              <w:rPr>
                <w:rFonts w:ascii="仿宋" w:hAnsi="仿宋" w:eastAsia="仿宋" w:cs="仿宋"/>
                <w:sz w:val="24"/>
              </w:rPr>
              <w:t>数据安全管理小组邮箱。数据接口人保留数据申请邮件记录，以便后续复核；</w:t>
            </w:r>
          </w:p>
          <w:p>
            <w:pPr>
              <w:numPr>
                <w:ilvl w:val="0"/>
                <w:numId w:val="75"/>
              </w:numPr>
              <w:spacing w:line="360" w:lineRule="auto"/>
              <w:rPr>
                <w:rFonts w:ascii="仿宋" w:hAnsi="仿宋" w:eastAsia="仿宋" w:cs="仿宋"/>
                <w:sz w:val="24"/>
              </w:rPr>
            </w:pPr>
            <w:r>
              <w:rPr>
                <w:rFonts w:hint="eastAsia" w:ascii="仿宋" w:hAnsi="仿宋" w:eastAsia="仿宋" w:cs="仿宋"/>
                <w:sz w:val="24"/>
              </w:rPr>
              <w:t>申请时应说明的信息包括：申请人、申请人所在部门、申请人的岗位信息、申请字段、原因、数据预估量、使用期限、获取方式等，申请原因需详细描述，细化到项目或具体任务。</w:t>
            </w:r>
          </w:p>
        </w:tc>
        <w:tc>
          <w:tcPr>
            <w:tcW w:w="2494" w:type="dxa"/>
            <w:vAlign w:val="center"/>
          </w:tcPr>
          <w:p>
            <w:pPr>
              <w:spacing w:line="360" w:lineRule="auto"/>
              <w:jc w:val="center"/>
              <w:rPr>
                <w:rFonts w:ascii="仿宋" w:hAnsi="仿宋" w:eastAsia="仿宋" w:cs="仿宋"/>
                <w:lang w:bidi="ar"/>
              </w:rPr>
            </w:pPr>
            <w:r>
              <w:rPr>
                <w:rFonts w:hint="eastAsia" w:ascii="仿宋" w:hAnsi="仿宋" w:eastAsia="仿宋" w:cs="仿宋"/>
                <w:sz w:val="24"/>
              </w:rPr>
              <w:t>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spacing w:line="360" w:lineRule="auto"/>
              <w:jc w:val="center"/>
              <w:rPr>
                <w:rFonts w:ascii="仿宋" w:hAnsi="仿宋" w:eastAsia="仿宋" w:cs="仿宋"/>
                <w:sz w:val="24"/>
              </w:rPr>
            </w:pPr>
            <w:r>
              <w:rPr>
                <w:rFonts w:ascii="仿宋" w:hAnsi="仿宋" w:eastAsia="仿宋" w:cs="仿宋"/>
                <w:sz w:val="24"/>
              </w:rPr>
              <w:t>2</w:t>
            </w:r>
          </w:p>
        </w:tc>
        <w:tc>
          <w:tcPr>
            <w:tcW w:w="6662" w:type="dxa"/>
            <w:vAlign w:val="center"/>
          </w:tcPr>
          <w:p>
            <w:pPr>
              <w:spacing w:line="360" w:lineRule="auto"/>
              <w:rPr>
                <w:rFonts w:ascii="仿宋" w:hAnsi="仿宋" w:eastAsia="仿宋" w:cs="仿宋"/>
                <w:sz w:val="24"/>
              </w:rPr>
            </w:pPr>
            <w:r>
              <w:rPr>
                <w:rFonts w:hint="eastAsia" w:ascii="仿宋" w:hAnsi="仿宋" w:eastAsia="仿宋" w:cs="仿宋"/>
                <w:sz w:val="24"/>
              </w:rPr>
              <w:t>申请人所在部门直接领导开始逐级审批，需对申请的必要性、合理性进行审批，如审批通过，则进入步骤</w:t>
            </w:r>
            <w:r>
              <w:rPr>
                <w:rFonts w:ascii="仿宋" w:hAnsi="仿宋" w:eastAsia="仿宋" w:cs="仿宋"/>
                <w:sz w:val="24"/>
              </w:rPr>
              <w:t>3</w:t>
            </w:r>
          </w:p>
        </w:tc>
        <w:tc>
          <w:tcPr>
            <w:tcW w:w="2494" w:type="dxa"/>
            <w:vAlign w:val="center"/>
          </w:tcPr>
          <w:p>
            <w:pPr>
              <w:spacing w:line="360" w:lineRule="auto"/>
              <w:jc w:val="center"/>
              <w:rPr>
                <w:rFonts w:ascii="仿宋" w:hAnsi="仿宋" w:eastAsia="仿宋" w:cs="仿宋"/>
                <w:sz w:val="24"/>
              </w:rPr>
            </w:pPr>
            <w:r>
              <w:rPr>
                <w:rFonts w:hint="eastAsia" w:ascii="仿宋" w:hAnsi="仿宋" w:eastAsia="仿宋" w:cs="仿宋"/>
                <w:sz w:val="24"/>
              </w:rPr>
              <w:t>申请人逐级领导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spacing w:line="360" w:lineRule="auto"/>
              <w:jc w:val="center"/>
              <w:rPr>
                <w:rFonts w:ascii="仿宋" w:hAnsi="仿宋" w:eastAsia="仿宋" w:cs="仿宋"/>
                <w:sz w:val="24"/>
              </w:rPr>
            </w:pPr>
            <w:r>
              <w:rPr>
                <w:rFonts w:ascii="仿宋" w:hAnsi="仿宋" w:eastAsia="仿宋" w:cs="仿宋"/>
                <w:sz w:val="24"/>
              </w:rPr>
              <w:t>3</w:t>
            </w:r>
          </w:p>
        </w:tc>
        <w:tc>
          <w:tcPr>
            <w:tcW w:w="6662" w:type="dxa"/>
            <w:vAlign w:val="center"/>
          </w:tcPr>
          <w:p>
            <w:pPr>
              <w:spacing w:line="360" w:lineRule="auto"/>
              <w:rPr>
                <w:rFonts w:ascii="仿宋" w:hAnsi="仿宋" w:eastAsia="仿宋" w:cs="仿宋"/>
                <w:sz w:val="24"/>
              </w:rPr>
            </w:pPr>
            <w:r>
              <w:rPr>
                <w:rFonts w:hint="eastAsia" w:ascii="仿宋" w:hAnsi="仿宋" w:eastAsia="仿宋" w:cs="仿宋"/>
                <w:sz w:val="24"/>
              </w:rPr>
              <w:t>本部门一级数据接口人根据收到的数据提取申请，应首先判断申请的合理性，如不合理，则驳回申请；如合理，则需要继续判断申请是否涉及跨部门数据访问或提取。如涉及跨部门的情况，则进入步骤</w:t>
            </w:r>
            <w:r>
              <w:rPr>
                <w:rFonts w:ascii="仿宋" w:hAnsi="仿宋" w:eastAsia="仿宋" w:cs="仿宋"/>
                <w:sz w:val="24"/>
              </w:rPr>
              <w:t>4；如不涉及，则直接进入步骤5</w:t>
            </w:r>
          </w:p>
        </w:tc>
        <w:tc>
          <w:tcPr>
            <w:tcW w:w="2494" w:type="dxa"/>
            <w:vAlign w:val="center"/>
          </w:tcPr>
          <w:p>
            <w:pPr>
              <w:spacing w:line="360" w:lineRule="auto"/>
              <w:jc w:val="center"/>
              <w:rPr>
                <w:rFonts w:ascii="仿宋" w:hAnsi="仿宋" w:eastAsia="仿宋" w:cs="仿宋"/>
                <w:sz w:val="24"/>
              </w:rPr>
            </w:pPr>
            <w:r>
              <w:rPr>
                <w:rFonts w:hint="eastAsia" w:ascii="仿宋" w:hAnsi="仿宋" w:eastAsia="仿宋" w:cs="仿宋"/>
                <w:sz w:val="24"/>
              </w:rPr>
              <w:t>本部门一级数据接口人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spacing w:line="360" w:lineRule="auto"/>
              <w:jc w:val="center"/>
              <w:rPr>
                <w:rFonts w:ascii="仿宋" w:hAnsi="仿宋" w:eastAsia="仿宋" w:cs="仿宋"/>
                <w:sz w:val="24"/>
              </w:rPr>
            </w:pPr>
            <w:r>
              <w:rPr>
                <w:rFonts w:ascii="仿宋" w:hAnsi="仿宋" w:eastAsia="仿宋" w:cs="仿宋"/>
                <w:sz w:val="24"/>
              </w:rPr>
              <w:t>4</w:t>
            </w:r>
          </w:p>
        </w:tc>
        <w:tc>
          <w:tcPr>
            <w:tcW w:w="6662" w:type="dxa"/>
            <w:vAlign w:val="center"/>
          </w:tcPr>
          <w:p>
            <w:pPr>
              <w:spacing w:line="360" w:lineRule="auto"/>
              <w:rPr>
                <w:rFonts w:ascii="仿宋" w:hAnsi="仿宋" w:eastAsia="仿宋" w:cs="仿宋"/>
                <w:sz w:val="24"/>
              </w:rPr>
            </w:pPr>
            <w:r>
              <w:rPr>
                <w:rFonts w:hint="eastAsia" w:ascii="仿宋" w:hAnsi="仿宋" w:eastAsia="仿宋" w:cs="仿宋"/>
                <w:sz w:val="24"/>
              </w:rPr>
              <w:t>目标部门一级数据接口人根据收到的数据提取申请，应首先判断申请的必要性、合理性，如不通过，则驳回申请；如通过，则直接进入步骤</w:t>
            </w:r>
            <w:r>
              <w:rPr>
                <w:rFonts w:ascii="仿宋" w:hAnsi="仿宋" w:eastAsia="仿宋" w:cs="仿宋"/>
                <w:sz w:val="24"/>
              </w:rPr>
              <w:t>5</w:t>
            </w:r>
          </w:p>
        </w:tc>
        <w:tc>
          <w:tcPr>
            <w:tcW w:w="2494" w:type="dxa"/>
            <w:vAlign w:val="center"/>
          </w:tcPr>
          <w:p>
            <w:pPr>
              <w:spacing w:line="360" w:lineRule="auto"/>
              <w:jc w:val="center"/>
              <w:rPr>
                <w:rFonts w:ascii="仿宋" w:hAnsi="仿宋" w:eastAsia="仿宋" w:cs="仿宋"/>
                <w:sz w:val="24"/>
              </w:rPr>
            </w:pPr>
            <w:r>
              <w:rPr>
                <w:rFonts w:hint="eastAsia" w:ascii="仿宋" w:hAnsi="仿宋" w:eastAsia="仿宋" w:cs="仿宋"/>
                <w:sz w:val="24"/>
              </w:rPr>
              <w:t>目标部门一级数据接口人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spacing w:line="360" w:lineRule="auto"/>
              <w:jc w:val="center"/>
              <w:rPr>
                <w:rFonts w:ascii="仿宋" w:hAnsi="仿宋" w:eastAsia="仿宋" w:cs="仿宋"/>
                <w:sz w:val="24"/>
              </w:rPr>
            </w:pPr>
            <w:r>
              <w:rPr>
                <w:rFonts w:ascii="仿宋" w:hAnsi="仿宋" w:eastAsia="仿宋" w:cs="仿宋"/>
                <w:sz w:val="24"/>
              </w:rPr>
              <w:t>5</w:t>
            </w:r>
          </w:p>
        </w:tc>
        <w:tc>
          <w:tcPr>
            <w:tcW w:w="6662" w:type="dxa"/>
            <w:vAlign w:val="center"/>
          </w:tcPr>
          <w:p>
            <w:pPr>
              <w:spacing w:line="360" w:lineRule="auto"/>
              <w:rPr>
                <w:rFonts w:ascii="仿宋" w:hAnsi="仿宋" w:eastAsia="仿宋" w:cs="仿宋"/>
                <w:sz w:val="24"/>
              </w:rPr>
            </w:pPr>
            <w:r>
              <w:rPr>
                <w:rFonts w:hint="eastAsia" w:ascii="仿宋" w:hAnsi="仿宋" w:eastAsia="仿宋" w:cs="仿宋"/>
                <w:sz w:val="24"/>
              </w:rPr>
              <w:t>信息安全部数据安全管理小组对申请的安全性、合理性进行审批。如不通过，则驳回申请，并提出安全建议，申请人修改方案重新提交申请；如通过，则进入步骤</w:t>
            </w:r>
            <w:r>
              <w:rPr>
                <w:rFonts w:ascii="仿宋" w:hAnsi="仿宋" w:eastAsia="仿宋" w:cs="仿宋"/>
                <w:sz w:val="24"/>
              </w:rPr>
              <w:t>7</w:t>
            </w:r>
          </w:p>
        </w:tc>
        <w:tc>
          <w:tcPr>
            <w:tcW w:w="2494" w:type="dxa"/>
            <w:vAlign w:val="center"/>
          </w:tcPr>
          <w:p>
            <w:pPr>
              <w:spacing w:line="360" w:lineRule="auto"/>
              <w:jc w:val="center"/>
              <w:rPr>
                <w:rFonts w:ascii="仿宋" w:hAnsi="仿宋" w:eastAsia="仿宋" w:cs="仿宋"/>
                <w:sz w:val="24"/>
              </w:rPr>
            </w:pPr>
            <w:r>
              <w:rPr>
                <w:rFonts w:hint="eastAsia" w:ascii="仿宋" w:hAnsi="仿宋" w:eastAsia="仿宋" w:cs="仿宋"/>
                <w:sz w:val="24"/>
              </w:rPr>
              <w:t>信息安全部数据安全管理小组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spacing w:line="360" w:lineRule="auto"/>
              <w:jc w:val="center"/>
              <w:rPr>
                <w:rFonts w:ascii="仿宋" w:hAnsi="仿宋" w:eastAsia="仿宋" w:cs="仿宋"/>
                <w:sz w:val="24"/>
              </w:rPr>
            </w:pPr>
            <w:r>
              <w:rPr>
                <w:rFonts w:ascii="仿宋" w:hAnsi="仿宋" w:eastAsia="仿宋" w:cs="仿宋"/>
                <w:sz w:val="24"/>
              </w:rPr>
              <w:t>7</w:t>
            </w:r>
          </w:p>
        </w:tc>
        <w:tc>
          <w:tcPr>
            <w:tcW w:w="6662" w:type="dxa"/>
            <w:vAlign w:val="center"/>
          </w:tcPr>
          <w:p>
            <w:pPr>
              <w:spacing w:line="360" w:lineRule="auto"/>
              <w:rPr>
                <w:rFonts w:ascii="仿宋" w:hAnsi="仿宋" w:eastAsia="仿宋" w:cs="仿宋"/>
                <w:sz w:val="24"/>
              </w:rPr>
            </w:pPr>
            <w:r>
              <w:rPr>
                <w:rFonts w:hint="eastAsia" w:ascii="仿宋" w:hAnsi="仿宋" w:eastAsia="仿宋" w:cs="仿宋"/>
                <w:sz w:val="24"/>
              </w:rPr>
              <w:t>技术人员根据审批结果，按要求提供技术支持，进行技术对接或提供申请人所需数据</w:t>
            </w:r>
          </w:p>
        </w:tc>
        <w:tc>
          <w:tcPr>
            <w:tcW w:w="2494" w:type="dxa"/>
            <w:vAlign w:val="center"/>
          </w:tcPr>
          <w:p>
            <w:pPr>
              <w:spacing w:line="360" w:lineRule="auto"/>
              <w:jc w:val="center"/>
              <w:rPr>
                <w:rFonts w:ascii="仿宋" w:hAnsi="仿宋" w:eastAsia="仿宋" w:cs="仿宋"/>
                <w:sz w:val="24"/>
              </w:rPr>
            </w:pPr>
            <w:r>
              <w:rPr>
                <w:rFonts w:ascii="仿宋" w:hAnsi="仿宋" w:eastAsia="仿宋" w:cs="仿宋"/>
                <w:sz w:val="24"/>
              </w:rPr>
              <w:t>DBA、大数据等技术人员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spacing w:line="360" w:lineRule="auto"/>
              <w:jc w:val="center"/>
              <w:rPr>
                <w:rFonts w:ascii="仿宋" w:hAnsi="仿宋" w:eastAsia="仿宋" w:cs="仿宋"/>
                <w:sz w:val="24"/>
              </w:rPr>
            </w:pPr>
            <w:r>
              <w:rPr>
                <w:rFonts w:ascii="仿宋" w:hAnsi="仿宋" w:eastAsia="仿宋" w:cs="仿宋"/>
                <w:sz w:val="24"/>
              </w:rPr>
              <w:t>8</w:t>
            </w:r>
          </w:p>
        </w:tc>
        <w:tc>
          <w:tcPr>
            <w:tcW w:w="6662" w:type="dxa"/>
            <w:vAlign w:val="center"/>
          </w:tcPr>
          <w:p>
            <w:pPr>
              <w:spacing w:line="360" w:lineRule="auto"/>
              <w:rPr>
                <w:rFonts w:ascii="仿宋" w:hAnsi="仿宋" w:eastAsia="仿宋" w:cs="仿宋"/>
                <w:sz w:val="24"/>
              </w:rPr>
            </w:pPr>
            <w:r>
              <w:rPr>
                <w:rFonts w:hint="eastAsia" w:ascii="仿宋" w:hAnsi="仿宋" w:eastAsia="仿宋" w:cs="仿宋"/>
                <w:sz w:val="24"/>
              </w:rPr>
              <w:t>数据申请人将数据提供给合作方，流程结束</w:t>
            </w:r>
          </w:p>
        </w:tc>
        <w:tc>
          <w:tcPr>
            <w:tcW w:w="2494" w:type="dxa"/>
            <w:vAlign w:val="center"/>
          </w:tcPr>
          <w:p>
            <w:pPr>
              <w:keepNext/>
              <w:spacing w:line="360" w:lineRule="auto"/>
              <w:jc w:val="center"/>
              <w:rPr>
                <w:rFonts w:ascii="仿宋" w:hAnsi="仿宋" w:eastAsia="仿宋" w:cs="仿宋"/>
                <w:sz w:val="24"/>
              </w:rPr>
            </w:pPr>
            <w:r>
              <w:rPr>
                <w:rFonts w:hint="eastAsia" w:ascii="仿宋" w:hAnsi="仿宋" w:eastAsia="仿宋" w:cs="仿宋"/>
                <w:sz w:val="24"/>
              </w:rPr>
              <w:t>申请人</w:t>
            </w:r>
          </w:p>
        </w:tc>
      </w:tr>
    </w:tbl>
    <w:p>
      <w:pPr>
        <w:pStyle w:val="7"/>
        <w:jc w:val="center"/>
        <w:rPr>
          <w:rFonts w:ascii="仿宋" w:hAnsi="仿宋" w:eastAsia="仿宋" w:cs="仿宋"/>
          <w:sz w:val="21"/>
          <w:szCs w:val="21"/>
        </w:rPr>
      </w:pPr>
      <w:r>
        <w:rPr>
          <w:rFonts w:hint="eastAsia" w:ascii="仿宋" w:hAnsi="仿宋" w:eastAsia="仿宋" w:cs="仿宋"/>
          <w:sz w:val="21"/>
          <w:szCs w:val="21"/>
        </w:rPr>
        <w:t xml:space="preserve">表 </w:t>
      </w:r>
      <w:r>
        <w:rPr>
          <w:rFonts w:ascii="仿宋" w:hAnsi="仿宋" w:eastAsia="仿宋" w:cs="仿宋"/>
          <w:sz w:val="21"/>
          <w:szCs w:val="21"/>
        </w:rPr>
        <w:fldChar w:fldCharType="begin"/>
      </w:r>
      <w:r>
        <w:rPr>
          <w:rFonts w:ascii="仿宋" w:hAnsi="仿宋" w:eastAsia="仿宋" w:cs="仿宋"/>
          <w:sz w:val="21"/>
          <w:szCs w:val="21"/>
        </w:rPr>
        <w:instrText xml:space="preserve"> </w:instrText>
      </w:r>
      <w:r>
        <w:rPr>
          <w:rFonts w:hint="eastAsia" w:ascii="仿宋" w:hAnsi="仿宋" w:eastAsia="仿宋" w:cs="仿宋"/>
          <w:sz w:val="21"/>
          <w:szCs w:val="21"/>
        </w:rPr>
        <w:instrText xml:space="preserve">SEQ 表 \* ARABIC</w:instrText>
      </w:r>
      <w:r>
        <w:rPr>
          <w:rFonts w:ascii="仿宋" w:hAnsi="仿宋" w:eastAsia="仿宋" w:cs="仿宋"/>
          <w:sz w:val="21"/>
          <w:szCs w:val="21"/>
        </w:rPr>
        <w:instrText xml:space="preserve"> </w:instrText>
      </w:r>
      <w:r>
        <w:rPr>
          <w:rFonts w:ascii="仿宋" w:hAnsi="仿宋" w:eastAsia="仿宋" w:cs="仿宋"/>
          <w:sz w:val="21"/>
          <w:szCs w:val="21"/>
        </w:rPr>
        <w:fldChar w:fldCharType="separate"/>
      </w:r>
      <w:r>
        <w:rPr>
          <w:rFonts w:ascii="仿宋" w:hAnsi="仿宋" w:eastAsia="仿宋" w:cs="仿宋"/>
          <w:sz w:val="21"/>
          <w:szCs w:val="21"/>
        </w:rPr>
        <w:t>7</w:t>
      </w:r>
      <w:r>
        <w:rPr>
          <w:rFonts w:ascii="仿宋" w:hAnsi="仿宋" w:eastAsia="仿宋" w:cs="仿宋"/>
          <w:sz w:val="21"/>
          <w:szCs w:val="21"/>
        </w:rPr>
        <w:fldChar w:fldCharType="end"/>
      </w:r>
      <w:r>
        <w:rPr>
          <w:rFonts w:hint="eastAsia" w:ascii="仿宋" w:hAnsi="仿宋" w:eastAsia="仿宋" w:cs="仿宋"/>
          <w:sz w:val="21"/>
          <w:szCs w:val="21"/>
        </w:rPr>
        <w:t>数据外部使用申请审批流程</w:t>
      </w:r>
    </w:p>
    <w:p>
      <w:pPr>
        <w:spacing w:line="360" w:lineRule="auto"/>
        <w:ind w:firstLine="420" w:firstLineChars="200"/>
        <w:rPr>
          <w:rFonts w:ascii="仿宋" w:hAnsi="仿宋" w:eastAsia="仿宋" w:cs="仿宋"/>
          <w:lang w:bidi="ar"/>
        </w:rPr>
        <w:sectPr>
          <w:pgSz w:w="11906" w:h="16838"/>
          <w:pgMar w:top="720" w:right="720" w:bottom="720" w:left="720" w:header="851" w:footer="992" w:gutter="0"/>
          <w:cols w:space="425" w:num="1"/>
          <w:docGrid w:type="lines" w:linePitch="312" w:charSpace="0"/>
        </w:sectPr>
      </w:pPr>
    </w:p>
    <w:p>
      <w:pPr>
        <w:spacing w:line="360" w:lineRule="auto"/>
        <w:ind w:firstLine="420" w:firstLineChars="200"/>
        <w:rPr>
          <w:rFonts w:ascii="仿宋" w:hAnsi="仿宋" w:eastAsia="仿宋" w:cs="仿宋"/>
          <w:lang w:bidi="ar"/>
        </w:rPr>
      </w:pPr>
    </w:p>
    <w:p>
      <w:pPr>
        <w:pStyle w:val="28"/>
        <w:ind w:left="0"/>
        <w:rPr>
          <w:rFonts w:ascii="仿宋" w:hAnsi="仿宋" w:cs="仿宋"/>
          <w:sz w:val="24"/>
        </w:rPr>
      </w:pPr>
      <w:r>
        <w:rPr>
          <w:rFonts w:ascii="仿宋" w:hAnsi="仿宋" w:cs="仿宋"/>
          <w:sz w:val="24"/>
        </w:rPr>
        <w:t>例外情形</w:t>
      </w:r>
    </w:p>
    <w:p>
      <w:pPr>
        <w:numPr>
          <w:ilvl w:val="2"/>
          <w:numId w:val="76"/>
        </w:numPr>
        <w:spacing w:line="360" w:lineRule="auto"/>
        <w:rPr>
          <w:rFonts w:ascii="仿宋" w:hAnsi="仿宋" w:eastAsia="仿宋" w:cs="仿宋"/>
          <w:sz w:val="24"/>
        </w:rPr>
      </w:pPr>
      <w:r>
        <w:rPr>
          <w:rFonts w:hint="eastAsia" w:ascii="仿宋" w:hAnsi="仿宋" w:eastAsia="仿宋" w:cs="仿宋"/>
          <w:sz w:val="24"/>
        </w:rPr>
        <w:t xml:space="preserve"> 纯粹因合理地履行公司职责而使用或披露公司C2 及以上密级数据的不在此限。 </w:t>
      </w:r>
    </w:p>
    <w:p>
      <w:pPr>
        <w:numPr>
          <w:ilvl w:val="2"/>
          <w:numId w:val="76"/>
        </w:numPr>
        <w:spacing w:line="360" w:lineRule="auto"/>
        <w:rPr>
          <w:rFonts w:ascii="仿宋" w:hAnsi="仿宋" w:eastAsia="仿宋" w:cs="仿宋"/>
          <w:sz w:val="24"/>
        </w:rPr>
      </w:pPr>
      <w:r>
        <w:rPr>
          <w:rFonts w:ascii="仿宋" w:hAnsi="仿宋" w:eastAsia="仿宋" w:cs="仿宋"/>
          <w:sz w:val="24"/>
        </w:rPr>
        <w:t xml:space="preserve"> </w:t>
      </w:r>
      <w:r>
        <w:rPr>
          <w:rFonts w:hint="eastAsia" w:ascii="仿宋" w:hAnsi="仿宋" w:eastAsia="仿宋" w:cs="仿宋"/>
          <w:sz w:val="24"/>
        </w:rPr>
        <w:t xml:space="preserve">因适用法律或具有法律效力的指令的要求而使用或披露的亦不在此限，遇此情形，所使用或披露的范围应仅限于该适用法律或具有法律效力的指令所明确规定的内容，且员工应在使用或披露之前经过数据责任主体、法务部、风控部、信息安全部等部门及数据安全委员会审批。 </w:t>
      </w:r>
    </w:p>
    <w:p>
      <w:pPr>
        <w:numPr>
          <w:ilvl w:val="2"/>
          <w:numId w:val="76"/>
        </w:numPr>
        <w:spacing w:line="360" w:lineRule="auto"/>
        <w:rPr>
          <w:rFonts w:ascii="仿宋" w:hAnsi="仿宋" w:eastAsia="仿宋" w:cs="仿宋"/>
          <w:sz w:val="24"/>
        </w:rPr>
      </w:pPr>
      <w:r>
        <w:rPr>
          <w:rFonts w:ascii="仿宋" w:hAnsi="仿宋" w:eastAsia="仿宋" w:cs="仿宋"/>
          <w:sz w:val="24"/>
        </w:rPr>
        <w:t xml:space="preserve"> </w:t>
      </w:r>
      <w:r>
        <w:rPr>
          <w:rFonts w:hint="eastAsia" w:ascii="仿宋" w:hAnsi="仿宋" w:eastAsia="仿宋" w:cs="仿宋"/>
          <w:sz w:val="24"/>
        </w:rPr>
        <w:t xml:space="preserve">对于技术成本过高或短期难以实现等特殊情况，经由安全部确认后，可适当放宽要求。 </w:t>
      </w:r>
    </w:p>
    <w:p>
      <w:pPr>
        <w:widowControl/>
        <w:spacing w:line="360" w:lineRule="auto"/>
        <w:jc w:val="left"/>
        <w:rPr>
          <w:rFonts w:ascii="仿宋" w:hAnsi="仿宋" w:eastAsia="仿宋" w:cs="仿宋"/>
          <w:b/>
          <w:color w:val="000000"/>
          <w:kern w:val="0"/>
          <w:sz w:val="24"/>
          <w:lang w:bidi="ar"/>
        </w:rPr>
        <w:sectPr>
          <w:pgSz w:w="11906" w:h="16838"/>
          <w:pgMar w:top="720" w:right="720" w:bottom="720" w:left="720" w:header="851" w:footer="992" w:gutter="0"/>
          <w:cols w:space="425" w:num="1"/>
          <w:docGrid w:type="lines" w:linePitch="312" w:charSpace="0"/>
        </w:sectPr>
      </w:pPr>
    </w:p>
    <w:p>
      <w:pPr>
        <w:widowControl/>
        <w:spacing w:line="360" w:lineRule="auto"/>
        <w:jc w:val="left"/>
        <w:rPr>
          <w:rFonts w:ascii="仿宋" w:hAnsi="仿宋" w:eastAsia="仿宋" w:cs="仿宋"/>
          <w:b/>
          <w:color w:val="000000"/>
          <w:kern w:val="0"/>
          <w:sz w:val="24"/>
          <w:lang w:bidi="ar"/>
        </w:rPr>
      </w:pPr>
    </w:p>
    <w:p>
      <w:pPr>
        <w:pStyle w:val="5"/>
        <w:numPr>
          <w:ilvl w:val="0"/>
          <w:numId w:val="3"/>
        </w:numPr>
        <w:spacing w:before="100" w:after="100"/>
        <w:jc w:val="center"/>
        <w:rPr>
          <w:rFonts w:hint="default" w:ascii="仿宋" w:hAnsi="仿宋" w:eastAsia="仿宋"/>
          <w:sz w:val="28"/>
          <w:szCs w:val="28"/>
        </w:rPr>
      </w:pPr>
      <w:r>
        <w:rPr>
          <w:rFonts w:hint="default" w:ascii="仿宋" w:hAnsi="仿宋" w:eastAsia="仿宋"/>
          <w:sz w:val="28"/>
          <w:szCs w:val="28"/>
        </w:rPr>
        <w:t>数据安全事件</w:t>
      </w:r>
      <w:r>
        <w:rPr>
          <w:rFonts w:ascii="仿宋" w:hAnsi="仿宋" w:eastAsia="仿宋"/>
          <w:sz w:val="28"/>
          <w:szCs w:val="28"/>
        </w:rPr>
        <w:t>处理</w:t>
      </w:r>
      <w:r>
        <w:rPr>
          <w:rFonts w:hint="default" w:ascii="仿宋" w:hAnsi="仿宋" w:eastAsia="仿宋"/>
          <w:sz w:val="28"/>
          <w:szCs w:val="28"/>
        </w:rPr>
        <w:t>流程</w:t>
      </w:r>
    </w:p>
    <w:p>
      <w:pPr>
        <w:pStyle w:val="28"/>
        <w:ind w:left="0"/>
        <w:rPr>
          <w:rFonts w:ascii="仿宋" w:hAnsi="仿宋" w:cs="仿宋"/>
          <w:sz w:val="24"/>
        </w:rPr>
      </w:pPr>
      <w:r>
        <w:rPr>
          <w:rFonts w:ascii="仿宋" w:hAnsi="仿宋" w:cs="仿宋"/>
          <w:sz w:val="24"/>
        </w:rPr>
        <w:t>数据安全事件主要是指由于人为原因</w:t>
      </w:r>
      <w:r>
        <w:rPr>
          <w:rFonts w:hint="eastAsia" w:ascii="仿宋" w:hAnsi="仿宋" w:cs="仿宋"/>
          <w:sz w:val="24"/>
        </w:rPr>
        <w:t>、</w:t>
      </w:r>
      <w:r>
        <w:rPr>
          <w:rFonts w:ascii="仿宋" w:hAnsi="仿宋" w:cs="仿宋"/>
          <w:sz w:val="24"/>
        </w:rPr>
        <w:t>软硬件缺陷或故障</w:t>
      </w:r>
      <w:r>
        <w:rPr>
          <w:rFonts w:hint="eastAsia" w:ascii="仿宋" w:hAnsi="仿宋" w:cs="仿宋"/>
          <w:sz w:val="24"/>
        </w:rPr>
        <w:t>、</w:t>
      </w:r>
      <w:r>
        <w:rPr>
          <w:rFonts w:ascii="仿宋" w:hAnsi="仿宋" w:cs="仿宋"/>
          <w:sz w:val="24"/>
        </w:rPr>
        <w:t>自然灾害等情况</w:t>
      </w:r>
      <w:r>
        <w:rPr>
          <w:rFonts w:hint="eastAsia" w:ascii="仿宋" w:hAnsi="仿宋" w:cs="仿宋"/>
          <w:sz w:val="24"/>
        </w:rPr>
        <w:t>，</w:t>
      </w:r>
      <w:r>
        <w:rPr>
          <w:rFonts w:ascii="仿宋" w:hAnsi="仿宋" w:cs="仿宋"/>
          <w:sz w:val="24"/>
        </w:rPr>
        <w:t>导致网络</w:t>
      </w:r>
      <w:r>
        <w:rPr>
          <w:rFonts w:hint="eastAsia" w:ascii="仿宋" w:hAnsi="仿宋" w:cs="仿宋"/>
          <w:sz w:val="24"/>
        </w:rPr>
        <w:t>或</w:t>
      </w:r>
      <w:r>
        <w:rPr>
          <w:rFonts w:ascii="仿宋" w:hAnsi="仿宋" w:cs="仿宋"/>
          <w:sz w:val="24"/>
        </w:rPr>
        <w:t>信息系统中的数据遭受破坏</w:t>
      </w:r>
      <w:r>
        <w:rPr>
          <w:rFonts w:hint="eastAsia" w:ascii="仿宋" w:hAnsi="仿宋" w:cs="仿宋"/>
          <w:sz w:val="24"/>
        </w:rPr>
        <w:t>，以至于对个人、法人和其它组织、社会秩序和公共利益造成相应影响的安全事件。</w:t>
      </w:r>
    </w:p>
    <w:p>
      <w:pPr>
        <w:pStyle w:val="28"/>
        <w:ind w:left="0"/>
        <w:rPr>
          <w:rFonts w:ascii="仿宋" w:hAnsi="仿宋" w:cs="仿宋"/>
          <w:sz w:val="24"/>
        </w:rPr>
      </w:pPr>
      <w:r>
        <w:rPr>
          <w:rFonts w:ascii="仿宋" w:hAnsi="仿宋" w:cs="仿宋"/>
          <w:sz w:val="24"/>
        </w:rPr>
        <w:t>根据数据安全事件发生的原因</w:t>
      </w:r>
      <w:r>
        <w:rPr>
          <w:rFonts w:hint="eastAsia" w:ascii="仿宋" w:hAnsi="仿宋" w:cs="仿宋"/>
          <w:sz w:val="24"/>
        </w:rPr>
        <w:t>、</w:t>
      </w:r>
      <w:r>
        <w:rPr>
          <w:rFonts w:ascii="仿宋" w:hAnsi="仿宋" w:cs="仿宋"/>
          <w:sz w:val="24"/>
        </w:rPr>
        <w:t>表现形式等</w:t>
      </w:r>
      <w:r>
        <w:rPr>
          <w:rFonts w:hint="eastAsia" w:ascii="仿宋" w:hAnsi="仿宋" w:cs="仿宋"/>
          <w:sz w:val="24"/>
        </w:rPr>
        <w:t>，将数据安全事件划分为数据篡改事件、数据假冒事件、数据泄漏事件、数据窃取事件、数据丢失事件、其它数据破坏事件等。</w:t>
      </w:r>
    </w:p>
    <w:p>
      <w:pPr>
        <w:pStyle w:val="36"/>
        <w:numPr>
          <w:ilvl w:val="0"/>
          <w:numId w:val="77"/>
        </w:numPr>
        <w:spacing w:line="360" w:lineRule="auto"/>
        <w:ind w:firstLineChars="0"/>
        <w:rPr>
          <w:rFonts w:ascii="仿宋" w:hAnsi="仿宋" w:eastAsia="仿宋" w:cs="仿宋"/>
          <w:sz w:val="24"/>
          <w:szCs w:val="32"/>
        </w:rPr>
      </w:pPr>
      <w:r>
        <w:rPr>
          <w:rFonts w:ascii="仿宋" w:hAnsi="仿宋" w:eastAsia="仿宋" w:cs="仿宋"/>
          <w:sz w:val="24"/>
          <w:szCs w:val="32"/>
        </w:rPr>
        <w:t>数据篡改事件</w:t>
      </w:r>
      <w:r>
        <w:rPr>
          <w:rFonts w:hint="eastAsia" w:ascii="仿宋" w:hAnsi="仿宋" w:eastAsia="仿宋" w:cs="仿宋"/>
          <w:sz w:val="24"/>
          <w:szCs w:val="32"/>
        </w:rPr>
        <w:t>： 是指未经授权将信息系统中的数据更换为攻击者所提供的数据而导致的数据安全事件，例如系统数据在没有获得授权的情况下被改变。</w:t>
      </w:r>
    </w:p>
    <w:p>
      <w:pPr>
        <w:pStyle w:val="36"/>
        <w:numPr>
          <w:ilvl w:val="0"/>
          <w:numId w:val="77"/>
        </w:numPr>
        <w:spacing w:line="360" w:lineRule="auto"/>
        <w:ind w:firstLineChars="0"/>
        <w:rPr>
          <w:rFonts w:ascii="仿宋" w:hAnsi="仿宋" w:eastAsia="仿宋" w:cs="仿宋"/>
          <w:sz w:val="24"/>
          <w:szCs w:val="32"/>
        </w:rPr>
      </w:pPr>
      <w:r>
        <w:rPr>
          <w:rFonts w:ascii="仿宋" w:hAnsi="仿宋" w:eastAsia="仿宋" w:cs="仿宋"/>
          <w:sz w:val="24"/>
          <w:szCs w:val="32"/>
        </w:rPr>
        <w:t>数据假冒事件</w:t>
      </w:r>
      <w:r>
        <w:rPr>
          <w:rFonts w:hint="eastAsia" w:ascii="仿宋" w:hAnsi="仿宋" w:eastAsia="仿宋" w:cs="仿宋"/>
          <w:sz w:val="24"/>
          <w:szCs w:val="32"/>
        </w:rPr>
        <w:t>：</w:t>
      </w:r>
      <w:r>
        <w:rPr>
          <w:rFonts w:ascii="仿宋" w:hAnsi="仿宋" w:eastAsia="仿宋" w:cs="仿宋"/>
          <w:sz w:val="24"/>
          <w:szCs w:val="32"/>
        </w:rPr>
        <w:t>是指通过假冒他人收发数据而导致的数据安全事件</w:t>
      </w:r>
      <w:r>
        <w:rPr>
          <w:rFonts w:hint="eastAsia" w:ascii="仿宋" w:hAnsi="仿宋" w:eastAsia="仿宋" w:cs="仿宋"/>
          <w:sz w:val="24"/>
          <w:szCs w:val="32"/>
        </w:rPr>
        <w:t>，例如网络钓鱼事件。</w:t>
      </w:r>
    </w:p>
    <w:p>
      <w:pPr>
        <w:pStyle w:val="36"/>
        <w:numPr>
          <w:ilvl w:val="0"/>
          <w:numId w:val="77"/>
        </w:numPr>
        <w:spacing w:line="360" w:lineRule="auto"/>
        <w:ind w:firstLineChars="0"/>
        <w:rPr>
          <w:rFonts w:ascii="仿宋" w:hAnsi="仿宋" w:eastAsia="仿宋" w:cs="仿宋"/>
          <w:sz w:val="24"/>
          <w:szCs w:val="32"/>
        </w:rPr>
      </w:pPr>
      <w:r>
        <w:rPr>
          <w:rFonts w:ascii="仿宋" w:hAnsi="仿宋" w:eastAsia="仿宋" w:cs="仿宋"/>
          <w:sz w:val="24"/>
          <w:szCs w:val="32"/>
        </w:rPr>
        <w:t>数据泄露事件</w:t>
      </w:r>
      <w:r>
        <w:rPr>
          <w:rFonts w:hint="eastAsia" w:ascii="仿宋" w:hAnsi="仿宋" w:eastAsia="仿宋" w:cs="仿宋"/>
          <w:sz w:val="24"/>
          <w:szCs w:val="32"/>
        </w:rPr>
        <w:t>：</w:t>
      </w:r>
      <w:r>
        <w:rPr>
          <w:rFonts w:ascii="仿宋" w:hAnsi="仿宋" w:eastAsia="仿宋" w:cs="仿宋"/>
          <w:sz w:val="24"/>
          <w:szCs w:val="32"/>
        </w:rPr>
        <w:t>是指因误操作</w:t>
      </w:r>
      <w:r>
        <w:rPr>
          <w:rFonts w:hint="eastAsia" w:ascii="仿宋" w:hAnsi="仿宋" w:eastAsia="仿宋" w:cs="仿宋"/>
          <w:sz w:val="24"/>
          <w:szCs w:val="32"/>
        </w:rPr>
        <w:t>、</w:t>
      </w:r>
      <w:r>
        <w:rPr>
          <w:rFonts w:ascii="仿宋" w:hAnsi="仿宋" w:eastAsia="仿宋" w:cs="仿宋"/>
          <w:sz w:val="24"/>
          <w:szCs w:val="32"/>
        </w:rPr>
        <w:t>软硬件缺陷等因素导致信息系统中的敏感</w:t>
      </w:r>
      <w:r>
        <w:rPr>
          <w:rFonts w:hint="eastAsia" w:ascii="仿宋" w:hAnsi="仿宋" w:eastAsia="仿宋" w:cs="仿宋"/>
          <w:sz w:val="24"/>
          <w:szCs w:val="32"/>
        </w:rPr>
        <w:t>、</w:t>
      </w:r>
      <w:r>
        <w:rPr>
          <w:rFonts w:ascii="仿宋" w:hAnsi="仿宋" w:eastAsia="仿宋" w:cs="仿宋"/>
          <w:sz w:val="24"/>
          <w:szCs w:val="32"/>
        </w:rPr>
        <w:t>个人隐私等数据暴露</w:t>
      </w:r>
      <w:r>
        <w:rPr>
          <w:rFonts w:hint="eastAsia" w:ascii="仿宋" w:hAnsi="仿宋" w:eastAsia="仿宋" w:cs="仿宋"/>
          <w:sz w:val="24"/>
          <w:szCs w:val="32"/>
        </w:rPr>
        <w:t>给</w:t>
      </w:r>
      <w:r>
        <w:rPr>
          <w:rFonts w:ascii="仿宋" w:hAnsi="仿宋" w:eastAsia="仿宋" w:cs="仿宋"/>
          <w:sz w:val="24"/>
          <w:szCs w:val="32"/>
        </w:rPr>
        <w:t>未经授权者而导致的数据安全事件</w:t>
      </w:r>
      <w:r>
        <w:rPr>
          <w:rFonts w:hint="eastAsia" w:ascii="仿宋" w:hAnsi="仿宋" w:eastAsia="仿宋" w:cs="仿宋"/>
          <w:sz w:val="24"/>
          <w:szCs w:val="32"/>
        </w:rPr>
        <w:t>。例如：</w:t>
      </w:r>
    </w:p>
    <w:p>
      <w:pPr>
        <w:pStyle w:val="36"/>
        <w:numPr>
          <w:ilvl w:val="0"/>
          <w:numId w:val="78"/>
        </w:numPr>
        <w:spacing w:line="360" w:lineRule="auto"/>
        <w:ind w:firstLineChars="0"/>
        <w:rPr>
          <w:rFonts w:ascii="仿宋" w:hAnsi="仿宋" w:eastAsia="仿宋" w:cs="仿宋"/>
          <w:sz w:val="24"/>
          <w:szCs w:val="32"/>
        </w:rPr>
      </w:pPr>
      <w:r>
        <w:rPr>
          <w:rFonts w:hint="eastAsia" w:ascii="仿宋" w:hAnsi="仿宋" w:eastAsia="仿宋" w:cs="仿宋"/>
          <w:sz w:val="24"/>
          <w:szCs w:val="32"/>
        </w:rPr>
        <w:t>数据库中未加密数据，被黑客利用数据库漏洞，实现数据库非授权访问，非法获得相关数据，导致数据泄露的安全事件。</w:t>
      </w:r>
    </w:p>
    <w:p>
      <w:pPr>
        <w:pStyle w:val="36"/>
        <w:numPr>
          <w:ilvl w:val="0"/>
          <w:numId w:val="78"/>
        </w:numPr>
        <w:spacing w:line="360" w:lineRule="auto"/>
        <w:ind w:firstLineChars="0"/>
        <w:rPr>
          <w:rFonts w:ascii="仿宋" w:hAnsi="仿宋" w:eastAsia="仿宋" w:cs="仿宋"/>
          <w:sz w:val="24"/>
          <w:szCs w:val="32"/>
        </w:rPr>
      </w:pPr>
      <w:r>
        <w:rPr>
          <w:rFonts w:hint="eastAsia" w:ascii="仿宋" w:hAnsi="仿宋" w:eastAsia="仿宋" w:cs="仿宋"/>
          <w:sz w:val="24"/>
          <w:szCs w:val="32"/>
        </w:rPr>
        <w:t>公司员工因恶意泄露公司数据，导致公司数据泄露的安全事件，如非法数据买卖。</w:t>
      </w:r>
    </w:p>
    <w:p>
      <w:pPr>
        <w:pStyle w:val="36"/>
        <w:numPr>
          <w:ilvl w:val="0"/>
          <w:numId w:val="77"/>
        </w:numPr>
        <w:spacing w:line="360" w:lineRule="auto"/>
        <w:ind w:firstLineChars="0"/>
        <w:rPr>
          <w:rFonts w:ascii="仿宋" w:hAnsi="仿宋" w:eastAsia="仿宋" w:cs="仿宋"/>
          <w:sz w:val="24"/>
          <w:szCs w:val="32"/>
        </w:rPr>
      </w:pPr>
      <w:r>
        <w:rPr>
          <w:rFonts w:ascii="仿宋" w:hAnsi="仿宋" w:eastAsia="仿宋" w:cs="仿宋"/>
          <w:sz w:val="24"/>
          <w:szCs w:val="32"/>
        </w:rPr>
        <w:t>数据窃取事件</w:t>
      </w:r>
      <w:r>
        <w:rPr>
          <w:rFonts w:hint="eastAsia" w:ascii="仿宋" w:hAnsi="仿宋" w:eastAsia="仿宋" w:cs="仿宋"/>
          <w:sz w:val="24"/>
          <w:szCs w:val="32"/>
        </w:rPr>
        <w:t>：</w:t>
      </w:r>
      <w:r>
        <w:rPr>
          <w:rFonts w:ascii="仿宋" w:hAnsi="仿宋" w:eastAsia="仿宋" w:cs="仿宋"/>
          <w:sz w:val="24"/>
          <w:szCs w:val="32"/>
        </w:rPr>
        <w:t>是指未经授权而利用可能的技术手段恶意主动获取信息系统中数据而导致的数据安全事件</w:t>
      </w:r>
      <w:r>
        <w:rPr>
          <w:rFonts w:hint="eastAsia" w:ascii="仿宋" w:hAnsi="仿宋" w:eastAsia="仿宋" w:cs="仿宋"/>
          <w:sz w:val="24"/>
          <w:szCs w:val="32"/>
        </w:rPr>
        <w:t>。例如：</w:t>
      </w:r>
    </w:p>
    <w:p>
      <w:pPr>
        <w:pStyle w:val="36"/>
        <w:numPr>
          <w:ilvl w:val="0"/>
          <w:numId w:val="79"/>
        </w:numPr>
        <w:spacing w:line="360" w:lineRule="auto"/>
        <w:ind w:firstLineChars="0"/>
        <w:rPr>
          <w:rFonts w:ascii="仿宋" w:hAnsi="仿宋" w:eastAsia="仿宋" w:cs="仿宋"/>
          <w:sz w:val="24"/>
          <w:szCs w:val="32"/>
        </w:rPr>
      </w:pPr>
      <w:r>
        <w:rPr>
          <w:rFonts w:hint="eastAsia" w:ascii="仿宋" w:hAnsi="仿宋" w:eastAsia="仿宋" w:cs="仿宋"/>
          <w:sz w:val="24"/>
          <w:szCs w:val="32"/>
        </w:rPr>
        <w:t>网络明文传输数据，被黑客通过相关工具拦截获取的安全事件。</w:t>
      </w:r>
    </w:p>
    <w:p>
      <w:pPr>
        <w:pStyle w:val="36"/>
        <w:numPr>
          <w:ilvl w:val="0"/>
          <w:numId w:val="79"/>
        </w:numPr>
        <w:spacing w:line="360" w:lineRule="auto"/>
        <w:ind w:firstLineChars="0"/>
        <w:rPr>
          <w:rFonts w:ascii="仿宋" w:hAnsi="仿宋" w:eastAsia="仿宋" w:cs="仿宋"/>
          <w:sz w:val="24"/>
          <w:szCs w:val="32"/>
        </w:rPr>
      </w:pPr>
      <w:r>
        <w:rPr>
          <w:rFonts w:hint="eastAsia" w:ascii="仿宋" w:hAnsi="仿宋" w:eastAsia="仿宋" w:cs="仿宋"/>
          <w:sz w:val="24"/>
          <w:szCs w:val="32"/>
        </w:rPr>
        <w:t>黑客</w:t>
      </w:r>
      <w:r>
        <w:rPr>
          <w:rFonts w:ascii="仿宋" w:hAnsi="仿宋" w:eastAsia="仿宋" w:cs="仿宋"/>
          <w:sz w:val="24"/>
          <w:szCs w:val="32"/>
        </w:rPr>
        <w:t>通过传播病毒邮件</w:t>
      </w:r>
      <w:r>
        <w:rPr>
          <w:rFonts w:hint="eastAsia" w:ascii="仿宋" w:hAnsi="仿宋" w:eastAsia="仿宋" w:cs="仿宋"/>
          <w:sz w:val="24"/>
          <w:szCs w:val="32"/>
        </w:rPr>
        <w:t>，员工不小心</w:t>
      </w:r>
      <w:r>
        <w:rPr>
          <w:rFonts w:ascii="仿宋" w:hAnsi="仿宋" w:eastAsia="仿宋" w:cs="仿宋"/>
          <w:sz w:val="24"/>
          <w:szCs w:val="32"/>
        </w:rPr>
        <w:t>点击邮件中所带的附件或者邮件中的链接地址</w:t>
      </w:r>
      <w:r>
        <w:rPr>
          <w:rFonts w:hint="eastAsia" w:ascii="仿宋" w:hAnsi="仿宋" w:eastAsia="仿宋" w:cs="仿宋"/>
          <w:sz w:val="24"/>
          <w:szCs w:val="32"/>
        </w:rPr>
        <w:t>，</w:t>
      </w:r>
      <w:r>
        <w:rPr>
          <w:rFonts w:ascii="仿宋" w:hAnsi="仿宋" w:eastAsia="仿宋" w:cs="仿宋"/>
          <w:sz w:val="24"/>
          <w:szCs w:val="32"/>
        </w:rPr>
        <w:t>病毒自动运行感染计算机</w:t>
      </w:r>
      <w:r>
        <w:rPr>
          <w:rFonts w:hint="eastAsia" w:ascii="仿宋" w:hAnsi="仿宋" w:eastAsia="仿宋" w:cs="仿宋"/>
          <w:sz w:val="24"/>
          <w:szCs w:val="32"/>
        </w:rPr>
        <w:t>，</w:t>
      </w:r>
      <w:r>
        <w:rPr>
          <w:rFonts w:ascii="仿宋" w:hAnsi="仿宋" w:eastAsia="仿宋" w:cs="仿宋"/>
          <w:sz w:val="24"/>
          <w:szCs w:val="32"/>
        </w:rPr>
        <w:t>以盗取用户的用户名密码信息等</w:t>
      </w:r>
      <w:r>
        <w:rPr>
          <w:rFonts w:hint="eastAsia" w:ascii="仿宋" w:hAnsi="仿宋" w:eastAsia="仿宋" w:cs="仿宋"/>
          <w:sz w:val="24"/>
          <w:szCs w:val="32"/>
        </w:rPr>
        <w:t>。</w:t>
      </w:r>
    </w:p>
    <w:p>
      <w:pPr>
        <w:pStyle w:val="36"/>
        <w:numPr>
          <w:ilvl w:val="0"/>
          <w:numId w:val="77"/>
        </w:numPr>
        <w:spacing w:line="360" w:lineRule="auto"/>
        <w:ind w:firstLineChars="0"/>
        <w:rPr>
          <w:rFonts w:ascii="仿宋" w:hAnsi="仿宋" w:eastAsia="仿宋" w:cs="仿宋"/>
          <w:sz w:val="24"/>
          <w:szCs w:val="32"/>
        </w:rPr>
      </w:pPr>
      <w:r>
        <w:rPr>
          <w:rFonts w:ascii="仿宋" w:hAnsi="仿宋" w:eastAsia="仿宋" w:cs="仿宋"/>
          <w:sz w:val="24"/>
          <w:szCs w:val="32"/>
        </w:rPr>
        <w:t>数据丢失事件</w:t>
      </w:r>
      <w:r>
        <w:rPr>
          <w:rFonts w:hint="eastAsia" w:ascii="仿宋" w:hAnsi="仿宋" w:eastAsia="仿宋" w:cs="仿宋"/>
          <w:sz w:val="24"/>
          <w:szCs w:val="32"/>
        </w:rPr>
        <w:t>：</w:t>
      </w:r>
      <w:r>
        <w:rPr>
          <w:rFonts w:ascii="仿宋" w:hAnsi="仿宋" w:eastAsia="仿宋" w:cs="仿宋"/>
          <w:sz w:val="24"/>
          <w:szCs w:val="32"/>
        </w:rPr>
        <w:t>是指因误操作</w:t>
      </w:r>
      <w:r>
        <w:rPr>
          <w:rFonts w:hint="eastAsia" w:ascii="仿宋" w:hAnsi="仿宋" w:eastAsia="仿宋" w:cs="仿宋"/>
          <w:sz w:val="24"/>
          <w:szCs w:val="32"/>
        </w:rPr>
        <w:t>、</w:t>
      </w:r>
      <w:r>
        <w:rPr>
          <w:rFonts w:ascii="仿宋" w:hAnsi="仿宋" w:eastAsia="仿宋" w:cs="仿宋"/>
          <w:sz w:val="24"/>
          <w:szCs w:val="32"/>
        </w:rPr>
        <w:t>人为蓄意或软硬件缺陷等因素导致信息系统中的数据删除</w:t>
      </w:r>
      <w:r>
        <w:rPr>
          <w:rFonts w:hint="eastAsia" w:ascii="仿宋" w:hAnsi="仿宋" w:eastAsia="仿宋" w:cs="仿宋"/>
          <w:sz w:val="24"/>
          <w:szCs w:val="32"/>
        </w:rPr>
        <w:t>、</w:t>
      </w:r>
      <w:r>
        <w:rPr>
          <w:rFonts w:ascii="仿宋" w:hAnsi="仿宋" w:eastAsia="仿宋" w:cs="仿宋"/>
          <w:sz w:val="24"/>
          <w:szCs w:val="32"/>
        </w:rPr>
        <w:t>丢失而导致的数据安全事件</w:t>
      </w:r>
      <w:r>
        <w:rPr>
          <w:rFonts w:hint="eastAsia" w:ascii="仿宋" w:hAnsi="仿宋" w:eastAsia="仿宋" w:cs="仿宋"/>
          <w:sz w:val="24"/>
          <w:szCs w:val="32"/>
        </w:rPr>
        <w:t>。</w:t>
      </w:r>
      <w:r>
        <w:rPr>
          <w:rFonts w:ascii="仿宋" w:hAnsi="仿宋" w:eastAsia="仿宋" w:cs="仿宋"/>
          <w:sz w:val="24"/>
          <w:szCs w:val="32"/>
        </w:rPr>
        <w:t>例如</w:t>
      </w:r>
      <w:r>
        <w:rPr>
          <w:rFonts w:hint="eastAsia" w:ascii="仿宋" w:hAnsi="仿宋" w:eastAsia="仿宋" w:cs="仿宋"/>
          <w:sz w:val="24"/>
          <w:szCs w:val="32"/>
        </w:rPr>
        <w:t>：</w:t>
      </w:r>
    </w:p>
    <w:p>
      <w:pPr>
        <w:pStyle w:val="36"/>
        <w:numPr>
          <w:ilvl w:val="0"/>
          <w:numId w:val="80"/>
        </w:numPr>
        <w:spacing w:line="360" w:lineRule="auto"/>
        <w:ind w:firstLineChars="0"/>
        <w:rPr>
          <w:rFonts w:ascii="仿宋" w:hAnsi="仿宋" w:eastAsia="仿宋" w:cs="仿宋"/>
          <w:sz w:val="24"/>
          <w:szCs w:val="32"/>
        </w:rPr>
      </w:pPr>
      <w:r>
        <w:rPr>
          <w:rFonts w:hint="eastAsia" w:ascii="仿宋" w:hAnsi="仿宋" w:eastAsia="仿宋" w:cs="仿宋"/>
          <w:sz w:val="24"/>
          <w:szCs w:val="32"/>
        </w:rPr>
        <w:t>硬盘故障或损坏，导致数据丢失的安全事件。</w:t>
      </w:r>
    </w:p>
    <w:p>
      <w:pPr>
        <w:pStyle w:val="36"/>
        <w:numPr>
          <w:ilvl w:val="0"/>
          <w:numId w:val="80"/>
        </w:numPr>
        <w:spacing w:line="360" w:lineRule="auto"/>
        <w:ind w:firstLineChars="0"/>
        <w:rPr>
          <w:rFonts w:ascii="仿宋" w:hAnsi="仿宋" w:eastAsia="仿宋" w:cs="仿宋"/>
          <w:sz w:val="24"/>
          <w:szCs w:val="32"/>
        </w:rPr>
      </w:pPr>
      <w:r>
        <w:rPr>
          <w:rFonts w:ascii="仿宋" w:hAnsi="仿宋" w:eastAsia="仿宋" w:cs="仿宋"/>
          <w:sz w:val="24"/>
          <w:szCs w:val="32"/>
        </w:rPr>
        <w:t>员工误操作</w:t>
      </w:r>
      <w:r>
        <w:rPr>
          <w:rFonts w:hint="eastAsia" w:ascii="仿宋" w:hAnsi="仿宋" w:eastAsia="仿宋" w:cs="仿宋"/>
          <w:sz w:val="24"/>
          <w:szCs w:val="32"/>
        </w:rPr>
        <w:t>，</w:t>
      </w:r>
      <w:r>
        <w:rPr>
          <w:rFonts w:ascii="仿宋" w:hAnsi="仿宋" w:eastAsia="仿宋" w:cs="仿宋"/>
          <w:sz w:val="24"/>
          <w:szCs w:val="32"/>
        </w:rPr>
        <w:t>员工在操作电脑时</w:t>
      </w:r>
      <w:r>
        <w:rPr>
          <w:rFonts w:hint="eastAsia" w:ascii="仿宋" w:hAnsi="仿宋" w:eastAsia="仿宋" w:cs="仿宋"/>
          <w:sz w:val="24"/>
          <w:szCs w:val="32"/>
        </w:rPr>
        <w:t>，</w:t>
      </w:r>
      <w:r>
        <w:rPr>
          <w:rFonts w:ascii="仿宋" w:hAnsi="仿宋" w:eastAsia="仿宋" w:cs="仿宋"/>
          <w:sz w:val="24"/>
          <w:szCs w:val="32"/>
        </w:rPr>
        <w:t>不小心误删重要数据</w:t>
      </w:r>
      <w:r>
        <w:rPr>
          <w:rFonts w:hint="eastAsia" w:ascii="仿宋" w:hAnsi="仿宋" w:eastAsia="仿宋" w:cs="仿宋"/>
          <w:sz w:val="24"/>
          <w:szCs w:val="32"/>
        </w:rPr>
        <w:t>，</w:t>
      </w:r>
      <w:r>
        <w:rPr>
          <w:rFonts w:ascii="仿宋" w:hAnsi="仿宋" w:eastAsia="仿宋" w:cs="仿宋"/>
          <w:sz w:val="24"/>
          <w:szCs w:val="32"/>
        </w:rPr>
        <w:t>导致数据丢失</w:t>
      </w:r>
      <w:r>
        <w:rPr>
          <w:rFonts w:hint="eastAsia" w:ascii="仿宋" w:hAnsi="仿宋" w:eastAsia="仿宋" w:cs="仿宋"/>
          <w:sz w:val="24"/>
          <w:szCs w:val="32"/>
        </w:rPr>
        <w:t>。</w:t>
      </w:r>
    </w:p>
    <w:p>
      <w:pPr>
        <w:pStyle w:val="36"/>
        <w:numPr>
          <w:ilvl w:val="0"/>
          <w:numId w:val="77"/>
        </w:numPr>
        <w:spacing w:line="360" w:lineRule="auto"/>
        <w:ind w:firstLineChars="0"/>
        <w:rPr>
          <w:rFonts w:ascii="仿宋" w:hAnsi="仿宋" w:eastAsia="仿宋" w:cs="仿宋"/>
          <w:sz w:val="24"/>
          <w:szCs w:val="32"/>
        </w:rPr>
      </w:pPr>
      <w:r>
        <w:rPr>
          <w:rFonts w:ascii="仿宋" w:hAnsi="仿宋" w:eastAsia="仿宋" w:cs="仿宋"/>
          <w:sz w:val="24"/>
          <w:szCs w:val="32"/>
        </w:rPr>
        <w:t>其它数据破坏事件</w:t>
      </w:r>
      <w:r>
        <w:rPr>
          <w:rFonts w:hint="eastAsia" w:ascii="仿宋" w:hAnsi="仿宋" w:eastAsia="仿宋" w:cs="仿宋"/>
          <w:sz w:val="24"/>
          <w:szCs w:val="32"/>
        </w:rPr>
        <w:t>：</w:t>
      </w:r>
      <w:r>
        <w:rPr>
          <w:rFonts w:ascii="仿宋" w:hAnsi="仿宋" w:eastAsia="仿宋" w:cs="仿宋"/>
          <w:sz w:val="24"/>
          <w:szCs w:val="32"/>
        </w:rPr>
        <w:t>是指不能被包含在以上</w:t>
      </w:r>
      <w:r>
        <w:rPr>
          <w:rFonts w:hint="eastAsia" w:ascii="仿宋" w:hAnsi="仿宋" w:eastAsia="仿宋" w:cs="仿宋"/>
          <w:sz w:val="24"/>
          <w:szCs w:val="32"/>
        </w:rPr>
        <w:t>5个类别之中的数据破坏事件。</w:t>
      </w:r>
    </w:p>
    <w:p>
      <w:pPr>
        <w:pStyle w:val="28"/>
        <w:ind w:left="0"/>
        <w:rPr>
          <w:rFonts w:ascii="仿宋" w:hAnsi="仿宋" w:cs="仿宋"/>
          <w:sz w:val="24"/>
        </w:rPr>
      </w:pPr>
      <w:r>
        <w:rPr>
          <w:rFonts w:ascii="仿宋" w:hAnsi="仿宋" w:cs="仿宋"/>
          <w:sz w:val="24"/>
        </w:rPr>
        <w:t>数据安全事件分级主要考虑以下因素</w:t>
      </w:r>
      <w:r>
        <w:rPr>
          <w:rFonts w:hint="eastAsia" w:ascii="仿宋" w:hAnsi="仿宋" w:cs="仿宋"/>
          <w:sz w:val="24"/>
        </w:rPr>
        <w:t>：</w:t>
      </w:r>
    </w:p>
    <w:p>
      <w:pPr>
        <w:pStyle w:val="36"/>
        <w:numPr>
          <w:ilvl w:val="0"/>
          <w:numId w:val="81"/>
        </w:numPr>
        <w:spacing w:line="360" w:lineRule="auto"/>
        <w:ind w:firstLineChars="0"/>
        <w:rPr>
          <w:rFonts w:ascii="仿宋" w:hAnsi="仿宋" w:eastAsia="仿宋" w:cs="仿宋"/>
          <w:sz w:val="24"/>
          <w:szCs w:val="32"/>
        </w:rPr>
      </w:pPr>
      <w:r>
        <w:rPr>
          <w:rFonts w:hint="eastAsia" w:ascii="仿宋" w:hAnsi="仿宋" w:eastAsia="仿宋" w:cs="仿宋"/>
          <w:sz w:val="24"/>
          <w:szCs w:val="32"/>
        </w:rPr>
        <w:t>信息密级：衡量因数据安全事件中所涉及数据的重要程度的要素。</w:t>
      </w:r>
    </w:p>
    <w:p>
      <w:pPr>
        <w:pStyle w:val="36"/>
        <w:numPr>
          <w:ilvl w:val="0"/>
          <w:numId w:val="81"/>
        </w:numPr>
        <w:spacing w:line="360" w:lineRule="auto"/>
        <w:ind w:firstLineChars="0"/>
        <w:rPr>
          <w:rFonts w:ascii="仿宋" w:hAnsi="仿宋" w:eastAsia="仿宋" w:cs="仿宋"/>
          <w:sz w:val="24"/>
          <w:szCs w:val="32"/>
        </w:rPr>
      </w:pPr>
      <w:r>
        <w:rPr>
          <w:rFonts w:ascii="仿宋" w:hAnsi="仿宋" w:eastAsia="仿宋" w:cs="仿宋"/>
          <w:sz w:val="24"/>
          <w:szCs w:val="32"/>
        </w:rPr>
        <w:t>声誉影响</w:t>
      </w:r>
      <w:r>
        <w:rPr>
          <w:rFonts w:hint="eastAsia" w:ascii="仿宋" w:hAnsi="仿宋" w:eastAsia="仿宋" w:cs="仿宋"/>
          <w:sz w:val="24"/>
          <w:szCs w:val="32"/>
        </w:rPr>
        <w:t>：</w:t>
      </w:r>
      <w:r>
        <w:rPr>
          <w:rFonts w:ascii="仿宋" w:hAnsi="仿宋" w:eastAsia="仿宋" w:cs="仿宋"/>
          <w:sz w:val="24"/>
          <w:szCs w:val="32"/>
        </w:rPr>
        <w:t>衡量因数据安全事件对公司品牌所造成的负面影响范围和程度的因素</w:t>
      </w:r>
      <w:r>
        <w:rPr>
          <w:rFonts w:hint="eastAsia" w:ascii="仿宋" w:hAnsi="仿宋" w:eastAsia="仿宋" w:cs="仿宋"/>
          <w:sz w:val="24"/>
          <w:szCs w:val="32"/>
        </w:rPr>
        <w:t>。</w:t>
      </w:r>
    </w:p>
    <w:p>
      <w:pPr>
        <w:pStyle w:val="36"/>
        <w:numPr>
          <w:ilvl w:val="0"/>
          <w:numId w:val="81"/>
        </w:numPr>
        <w:spacing w:line="360" w:lineRule="auto"/>
        <w:ind w:firstLineChars="0"/>
        <w:rPr>
          <w:rFonts w:ascii="仿宋" w:hAnsi="仿宋" w:eastAsia="仿宋" w:cs="仿宋"/>
          <w:sz w:val="24"/>
          <w:szCs w:val="32"/>
        </w:rPr>
      </w:pPr>
      <w:r>
        <w:rPr>
          <w:rFonts w:ascii="仿宋" w:hAnsi="仿宋" w:eastAsia="仿宋" w:cs="仿宋"/>
          <w:sz w:val="24"/>
          <w:szCs w:val="32"/>
        </w:rPr>
        <w:t>业务影响</w:t>
      </w:r>
      <w:r>
        <w:rPr>
          <w:rFonts w:hint="eastAsia" w:ascii="仿宋" w:hAnsi="仿宋" w:eastAsia="仿宋" w:cs="仿宋"/>
          <w:sz w:val="24"/>
          <w:szCs w:val="32"/>
        </w:rPr>
        <w:t>：</w:t>
      </w:r>
      <w:r>
        <w:rPr>
          <w:rFonts w:ascii="仿宋" w:hAnsi="仿宋" w:eastAsia="仿宋" w:cs="仿宋"/>
          <w:sz w:val="24"/>
          <w:szCs w:val="32"/>
        </w:rPr>
        <w:t>衡量因数据安全事件对公司或事发部门正常业务开展所造成的影响程度和损害的要素</w:t>
      </w:r>
      <w:r>
        <w:rPr>
          <w:rFonts w:hint="eastAsia" w:ascii="仿宋" w:hAnsi="仿宋" w:eastAsia="仿宋" w:cs="仿宋"/>
          <w:sz w:val="24"/>
          <w:szCs w:val="32"/>
        </w:rPr>
        <w:t>。</w:t>
      </w:r>
    </w:p>
    <w:p>
      <w:pPr>
        <w:pStyle w:val="36"/>
        <w:numPr>
          <w:ilvl w:val="0"/>
          <w:numId w:val="81"/>
        </w:numPr>
        <w:spacing w:line="360" w:lineRule="auto"/>
        <w:ind w:firstLineChars="0"/>
        <w:rPr>
          <w:rFonts w:ascii="仿宋" w:hAnsi="仿宋" w:eastAsia="仿宋" w:cs="仿宋"/>
          <w:sz w:val="24"/>
          <w:szCs w:val="32"/>
        </w:rPr>
      </w:pPr>
      <w:r>
        <w:rPr>
          <w:rFonts w:ascii="仿宋" w:hAnsi="仿宋" w:eastAsia="仿宋" w:cs="仿宋"/>
          <w:sz w:val="24"/>
          <w:szCs w:val="32"/>
        </w:rPr>
        <w:t>资产损失</w:t>
      </w:r>
      <w:r>
        <w:rPr>
          <w:rFonts w:hint="eastAsia" w:ascii="仿宋" w:hAnsi="仿宋" w:eastAsia="仿宋" w:cs="仿宋"/>
          <w:sz w:val="24"/>
          <w:szCs w:val="32"/>
        </w:rPr>
        <w:t>：</w:t>
      </w:r>
      <w:r>
        <w:rPr>
          <w:rFonts w:ascii="仿宋" w:hAnsi="仿宋" w:eastAsia="仿宋" w:cs="仿宋"/>
          <w:sz w:val="24"/>
          <w:szCs w:val="32"/>
        </w:rPr>
        <w:t>衡量因恢复系统正常运行和消除数据安全事件负面影响所需付出资金代价的要素</w:t>
      </w:r>
      <w:r>
        <w:rPr>
          <w:rFonts w:hint="eastAsia" w:ascii="仿宋" w:hAnsi="仿宋" w:eastAsia="仿宋" w:cs="仿宋"/>
          <w:sz w:val="24"/>
          <w:szCs w:val="32"/>
        </w:rPr>
        <w:t>。</w:t>
      </w:r>
    </w:p>
    <w:p>
      <w:pPr>
        <w:pStyle w:val="28"/>
        <w:ind w:left="0"/>
        <w:rPr>
          <w:rFonts w:ascii="仿宋" w:hAnsi="仿宋" w:cs="仿宋"/>
          <w:sz w:val="24"/>
        </w:rPr>
      </w:pPr>
      <w:r>
        <w:rPr>
          <w:rFonts w:ascii="仿宋" w:hAnsi="仿宋" w:cs="仿宋"/>
          <w:sz w:val="24"/>
        </w:rPr>
        <w:t>根据数据安全事件的分级考虑因素</w:t>
      </w:r>
      <w:r>
        <w:rPr>
          <w:rFonts w:hint="eastAsia" w:ascii="仿宋" w:hAnsi="仿宋" w:cs="仿宋"/>
          <w:sz w:val="24"/>
        </w:rPr>
        <w:t>，</w:t>
      </w:r>
      <w:r>
        <w:rPr>
          <w:rFonts w:ascii="仿宋" w:hAnsi="仿宋" w:cs="仿宋"/>
          <w:sz w:val="24"/>
        </w:rPr>
        <w:t>将数据安全事件划分为</w:t>
      </w:r>
      <w:r>
        <w:rPr>
          <w:rFonts w:hint="eastAsia" w:ascii="仿宋" w:hAnsi="仿宋" w:cs="仿宋"/>
          <w:sz w:val="24"/>
        </w:rPr>
        <w:t>特别重大事件、重大事件、较大事件和一般事件。具体判定标准如下：</w:t>
      </w:r>
    </w:p>
    <w:p>
      <w:pPr>
        <w:numPr>
          <w:ilvl w:val="2"/>
          <w:numId w:val="82"/>
        </w:numPr>
        <w:spacing w:line="360" w:lineRule="auto"/>
        <w:rPr>
          <w:rFonts w:ascii="仿宋" w:hAnsi="仿宋" w:eastAsia="仿宋" w:cs="仿宋"/>
          <w:sz w:val="24"/>
          <w:szCs w:val="32"/>
        </w:rPr>
      </w:pPr>
      <w:r>
        <w:rPr>
          <w:rFonts w:ascii="仿宋" w:hAnsi="仿宋" w:eastAsia="仿宋" w:cs="仿宋"/>
          <w:sz w:val="24"/>
          <w:szCs w:val="32"/>
        </w:rPr>
        <w:t>特别重大事件</w:t>
      </w:r>
      <w:r>
        <w:rPr>
          <w:rFonts w:hint="eastAsia" w:ascii="仿宋" w:hAnsi="仿宋" w:eastAsia="仿宋" w:cs="仿宋"/>
          <w:sz w:val="24"/>
          <w:szCs w:val="32"/>
        </w:rPr>
        <w:t>（I级）</w:t>
      </w:r>
    </w:p>
    <w:p>
      <w:pPr>
        <w:pStyle w:val="36"/>
        <w:spacing w:line="360" w:lineRule="auto"/>
        <w:ind w:firstLineChars="0"/>
        <w:rPr>
          <w:rFonts w:ascii="仿宋" w:hAnsi="仿宋" w:eastAsia="仿宋" w:cs="仿宋"/>
          <w:sz w:val="24"/>
          <w:szCs w:val="32"/>
        </w:rPr>
      </w:pPr>
      <w:r>
        <w:rPr>
          <w:rFonts w:ascii="仿宋" w:hAnsi="仿宋" w:eastAsia="仿宋" w:cs="仿宋"/>
          <w:sz w:val="24"/>
          <w:szCs w:val="32"/>
        </w:rPr>
        <w:t>特别重大安全事件是指能够导致特别严重影响或破坏的数据安全事件</w:t>
      </w:r>
      <w:r>
        <w:rPr>
          <w:rFonts w:hint="eastAsia" w:ascii="仿宋" w:hAnsi="仿宋" w:eastAsia="仿宋" w:cs="仿宋"/>
          <w:sz w:val="24"/>
          <w:szCs w:val="32"/>
        </w:rPr>
        <w:t>，包含以下情况：</w:t>
      </w:r>
    </w:p>
    <w:p>
      <w:pPr>
        <w:pStyle w:val="36"/>
        <w:numPr>
          <w:ilvl w:val="0"/>
          <w:numId w:val="83"/>
        </w:numPr>
        <w:spacing w:line="360" w:lineRule="auto"/>
        <w:ind w:firstLineChars="0"/>
        <w:rPr>
          <w:rFonts w:ascii="仿宋" w:hAnsi="仿宋" w:eastAsia="仿宋" w:cs="仿宋"/>
          <w:sz w:val="24"/>
          <w:szCs w:val="32"/>
        </w:rPr>
      </w:pPr>
      <w:r>
        <w:rPr>
          <w:rFonts w:ascii="仿宋" w:hAnsi="仿宋" w:eastAsia="仿宋" w:cs="仿宋"/>
          <w:sz w:val="24"/>
          <w:szCs w:val="32"/>
        </w:rPr>
        <w:t>数据泄露的数量特大</w:t>
      </w:r>
      <w:r>
        <w:rPr>
          <w:rFonts w:hint="eastAsia" w:ascii="仿宋" w:hAnsi="仿宋" w:eastAsia="仿宋" w:cs="仿宋"/>
          <w:sz w:val="24"/>
          <w:szCs w:val="32"/>
        </w:rPr>
        <w:t>，例如：</w:t>
      </w:r>
    </w:p>
    <w:p>
      <w:pPr>
        <w:pStyle w:val="36"/>
        <w:numPr>
          <w:ilvl w:val="0"/>
          <w:numId w:val="84"/>
        </w:numPr>
        <w:spacing w:line="360" w:lineRule="auto"/>
        <w:ind w:firstLineChars="0"/>
        <w:rPr>
          <w:rFonts w:ascii="仿宋" w:hAnsi="仿宋" w:eastAsia="仿宋" w:cs="仿宋"/>
          <w:sz w:val="24"/>
          <w:szCs w:val="32"/>
        </w:rPr>
      </w:pPr>
      <w:r>
        <w:rPr>
          <w:rFonts w:hint="eastAsia" w:ascii="仿宋" w:hAnsi="仿宋" w:eastAsia="仿宋" w:cs="仿宋"/>
          <w:sz w:val="24"/>
          <w:szCs w:val="32"/>
        </w:rPr>
        <w:t>个人信息泄露五万条以上。</w:t>
      </w:r>
    </w:p>
    <w:p>
      <w:pPr>
        <w:pStyle w:val="36"/>
        <w:numPr>
          <w:ilvl w:val="0"/>
          <w:numId w:val="84"/>
        </w:numPr>
        <w:spacing w:line="360" w:lineRule="auto"/>
        <w:ind w:firstLineChars="0"/>
        <w:rPr>
          <w:rFonts w:ascii="仿宋" w:hAnsi="仿宋" w:eastAsia="仿宋" w:cs="仿宋"/>
          <w:sz w:val="24"/>
          <w:szCs w:val="32"/>
        </w:rPr>
      </w:pPr>
      <w:r>
        <w:rPr>
          <w:rFonts w:ascii="仿宋" w:hAnsi="仿宋" w:eastAsia="仿宋" w:cs="仿宋"/>
          <w:sz w:val="24"/>
          <w:szCs w:val="32"/>
        </w:rPr>
        <w:t>个人敏感信息泄露</w:t>
      </w:r>
      <w:r>
        <w:rPr>
          <w:rFonts w:hint="eastAsia" w:ascii="仿宋" w:hAnsi="仿宋" w:eastAsia="仿宋" w:cs="仿宋"/>
          <w:sz w:val="24"/>
          <w:szCs w:val="32"/>
        </w:rPr>
        <w:t>五千条以上。</w:t>
      </w:r>
    </w:p>
    <w:p>
      <w:pPr>
        <w:pStyle w:val="36"/>
        <w:numPr>
          <w:ilvl w:val="0"/>
          <w:numId w:val="83"/>
        </w:numPr>
        <w:spacing w:line="360" w:lineRule="auto"/>
        <w:ind w:firstLineChars="0"/>
        <w:rPr>
          <w:rFonts w:ascii="仿宋" w:hAnsi="仿宋" w:eastAsia="仿宋" w:cs="仿宋"/>
          <w:sz w:val="24"/>
          <w:szCs w:val="32"/>
        </w:rPr>
      </w:pPr>
      <w:r>
        <w:rPr>
          <w:rFonts w:ascii="仿宋" w:hAnsi="仿宋" w:eastAsia="仿宋" w:cs="仿宋"/>
          <w:sz w:val="24"/>
          <w:szCs w:val="32"/>
        </w:rPr>
        <w:t>产生特别重大的影响或损失</w:t>
      </w:r>
      <w:r>
        <w:rPr>
          <w:rFonts w:hint="eastAsia" w:ascii="仿宋" w:hAnsi="仿宋" w:eastAsia="仿宋" w:cs="仿宋"/>
          <w:sz w:val="24"/>
          <w:szCs w:val="32"/>
        </w:rPr>
        <w:t>，即数据安全事件已扩散至全国且对公司具有广泛性的影响，严重威胁到客户资金及核心数据安全，以及严重扰乱社会秩序，并对公司的品牌、声誉、财产、形象造成严重损害，且在一定时期和阶段难以弥补或无法弥补损害。</w:t>
      </w:r>
    </w:p>
    <w:p>
      <w:pPr>
        <w:pStyle w:val="36"/>
        <w:spacing w:line="360" w:lineRule="auto"/>
        <w:ind w:left="480" w:firstLine="0" w:firstLineChars="0"/>
        <w:rPr>
          <w:rFonts w:ascii="仿宋" w:hAnsi="仿宋" w:eastAsia="仿宋" w:cs="仿宋"/>
          <w:sz w:val="24"/>
          <w:szCs w:val="32"/>
        </w:rPr>
      </w:pPr>
      <w:r>
        <w:rPr>
          <w:rFonts w:ascii="仿宋" w:hAnsi="仿宋" w:eastAsia="仿宋" w:cs="仿宋"/>
          <w:sz w:val="24"/>
          <w:szCs w:val="32"/>
        </w:rPr>
        <w:t>举例</w:t>
      </w:r>
      <w:r>
        <w:rPr>
          <w:rFonts w:hint="eastAsia" w:ascii="仿宋" w:hAnsi="仿宋" w:eastAsia="仿宋" w:cs="仿宋"/>
          <w:sz w:val="24"/>
          <w:szCs w:val="32"/>
        </w:rPr>
        <w:t>：</w:t>
      </w:r>
    </w:p>
    <w:p>
      <w:pPr>
        <w:pStyle w:val="36"/>
        <w:numPr>
          <w:ilvl w:val="0"/>
          <w:numId w:val="85"/>
        </w:numPr>
        <w:spacing w:line="360" w:lineRule="auto"/>
        <w:ind w:firstLineChars="0"/>
        <w:rPr>
          <w:rFonts w:ascii="仿宋" w:hAnsi="仿宋" w:eastAsia="仿宋" w:cs="仿宋"/>
          <w:sz w:val="24"/>
          <w:szCs w:val="32"/>
        </w:rPr>
      </w:pPr>
      <w:r>
        <w:rPr>
          <w:rFonts w:hint="eastAsia" w:ascii="仿宋" w:hAnsi="仿宋" w:eastAsia="仿宋" w:cs="仿宋"/>
          <w:sz w:val="24"/>
          <w:szCs w:val="32"/>
        </w:rPr>
        <w:t>C</w:t>
      </w:r>
      <w:r>
        <w:rPr>
          <w:rFonts w:ascii="仿宋" w:hAnsi="仿宋" w:eastAsia="仿宋" w:cs="仿宋"/>
          <w:sz w:val="24"/>
          <w:szCs w:val="32"/>
        </w:rPr>
        <w:t>3</w:t>
      </w:r>
      <w:r>
        <w:rPr>
          <w:rFonts w:hint="eastAsia" w:ascii="仿宋" w:hAnsi="仿宋" w:eastAsia="仿宋" w:cs="仿宋"/>
          <w:sz w:val="24"/>
          <w:szCs w:val="32"/>
        </w:rPr>
        <w:t>、C</w:t>
      </w:r>
      <w:r>
        <w:rPr>
          <w:rFonts w:ascii="仿宋" w:hAnsi="仿宋" w:eastAsia="仿宋" w:cs="仿宋"/>
          <w:sz w:val="24"/>
          <w:szCs w:val="32"/>
        </w:rPr>
        <w:t>4级别数据被泄露导致大范围社会传播事件</w:t>
      </w:r>
      <w:r>
        <w:rPr>
          <w:rFonts w:hint="eastAsia" w:ascii="仿宋" w:hAnsi="仿宋" w:eastAsia="仿宋" w:cs="仿宋"/>
          <w:sz w:val="24"/>
          <w:szCs w:val="32"/>
        </w:rPr>
        <w:t>，</w:t>
      </w:r>
      <w:r>
        <w:rPr>
          <w:rFonts w:ascii="仿宋" w:hAnsi="仿宋" w:eastAsia="仿宋" w:cs="仿宋"/>
          <w:sz w:val="24"/>
          <w:szCs w:val="32"/>
        </w:rPr>
        <w:t>严重影响公司声誉</w:t>
      </w:r>
      <w:r>
        <w:rPr>
          <w:rFonts w:hint="eastAsia" w:ascii="仿宋" w:hAnsi="仿宋" w:eastAsia="仿宋" w:cs="仿宋"/>
          <w:sz w:val="24"/>
          <w:szCs w:val="32"/>
        </w:rPr>
        <w:t>。</w:t>
      </w:r>
    </w:p>
    <w:p>
      <w:pPr>
        <w:pStyle w:val="36"/>
        <w:numPr>
          <w:ilvl w:val="0"/>
          <w:numId w:val="85"/>
        </w:numPr>
        <w:spacing w:line="360" w:lineRule="auto"/>
        <w:ind w:firstLineChars="0"/>
        <w:rPr>
          <w:rFonts w:ascii="仿宋" w:hAnsi="仿宋" w:eastAsia="仿宋" w:cs="仿宋"/>
          <w:sz w:val="24"/>
          <w:szCs w:val="32"/>
        </w:rPr>
      </w:pPr>
      <w:r>
        <w:rPr>
          <w:rFonts w:ascii="仿宋" w:hAnsi="仿宋" w:eastAsia="仿宋" w:cs="仿宋"/>
          <w:sz w:val="24"/>
          <w:szCs w:val="32"/>
        </w:rPr>
        <w:t>对外发布公司内部的</w:t>
      </w:r>
      <w:r>
        <w:rPr>
          <w:rFonts w:hint="eastAsia" w:ascii="仿宋" w:hAnsi="仿宋" w:eastAsia="仿宋" w:cs="仿宋"/>
          <w:sz w:val="24"/>
          <w:szCs w:val="32"/>
        </w:rPr>
        <w:t>C</w:t>
      </w:r>
      <w:r>
        <w:rPr>
          <w:rFonts w:ascii="仿宋" w:hAnsi="仿宋" w:eastAsia="仿宋" w:cs="仿宋"/>
          <w:sz w:val="24"/>
          <w:szCs w:val="32"/>
        </w:rPr>
        <w:t>3级数据</w:t>
      </w:r>
      <w:r>
        <w:rPr>
          <w:rFonts w:hint="eastAsia" w:ascii="仿宋" w:hAnsi="仿宋" w:eastAsia="仿宋" w:cs="仿宋"/>
          <w:sz w:val="24"/>
          <w:szCs w:val="32"/>
        </w:rPr>
        <w:t>、</w:t>
      </w:r>
      <w:r>
        <w:rPr>
          <w:rFonts w:ascii="仿宋" w:hAnsi="仿宋" w:eastAsia="仿宋" w:cs="仿宋"/>
          <w:sz w:val="24"/>
          <w:szCs w:val="32"/>
        </w:rPr>
        <w:t>大范围传播损害公司形象利益</w:t>
      </w:r>
      <w:r>
        <w:rPr>
          <w:rFonts w:hint="eastAsia" w:ascii="仿宋" w:hAnsi="仿宋" w:eastAsia="仿宋" w:cs="仿宋"/>
          <w:sz w:val="24"/>
          <w:szCs w:val="32"/>
        </w:rPr>
        <w:t>的言论事件，直接影响公司投资者关系或者公司股票价格等事件。</w:t>
      </w:r>
    </w:p>
    <w:p>
      <w:pPr>
        <w:numPr>
          <w:ilvl w:val="2"/>
          <w:numId w:val="82"/>
        </w:numPr>
        <w:spacing w:line="360" w:lineRule="auto"/>
        <w:rPr>
          <w:rFonts w:ascii="仿宋" w:hAnsi="仿宋" w:eastAsia="仿宋" w:cs="仿宋"/>
          <w:sz w:val="24"/>
          <w:szCs w:val="32"/>
        </w:rPr>
      </w:pPr>
      <w:r>
        <w:rPr>
          <w:rFonts w:ascii="仿宋" w:hAnsi="仿宋" w:eastAsia="仿宋" w:cs="仿宋"/>
          <w:sz w:val="24"/>
          <w:szCs w:val="32"/>
        </w:rPr>
        <w:t>重大事件</w:t>
      </w:r>
      <w:r>
        <w:rPr>
          <w:rFonts w:hint="eastAsia" w:ascii="仿宋" w:hAnsi="仿宋" w:eastAsia="仿宋" w:cs="仿宋"/>
          <w:sz w:val="24"/>
          <w:szCs w:val="32"/>
        </w:rPr>
        <w:t>（I</w:t>
      </w:r>
      <w:r>
        <w:rPr>
          <w:rFonts w:ascii="仿宋" w:hAnsi="仿宋" w:eastAsia="仿宋" w:cs="仿宋"/>
          <w:sz w:val="24"/>
          <w:szCs w:val="32"/>
        </w:rPr>
        <w:t>I</w:t>
      </w:r>
      <w:r>
        <w:rPr>
          <w:rFonts w:hint="eastAsia" w:ascii="仿宋" w:hAnsi="仿宋" w:eastAsia="仿宋" w:cs="仿宋"/>
          <w:sz w:val="24"/>
          <w:szCs w:val="32"/>
        </w:rPr>
        <w:t>级）</w:t>
      </w:r>
    </w:p>
    <w:p>
      <w:pPr>
        <w:pStyle w:val="36"/>
        <w:spacing w:line="360" w:lineRule="auto"/>
        <w:ind w:firstLineChars="0"/>
        <w:rPr>
          <w:rFonts w:ascii="仿宋" w:hAnsi="仿宋" w:eastAsia="仿宋" w:cs="仿宋"/>
          <w:sz w:val="24"/>
          <w:szCs w:val="32"/>
        </w:rPr>
      </w:pPr>
      <w:r>
        <w:rPr>
          <w:rFonts w:hint="eastAsia" w:ascii="仿宋" w:hAnsi="仿宋" w:eastAsia="仿宋" w:cs="仿宋"/>
          <w:sz w:val="24"/>
          <w:szCs w:val="32"/>
        </w:rPr>
        <w:t>重大事件是指能够严重影响或破坏的数据安全事件，包含以下情况：</w:t>
      </w:r>
    </w:p>
    <w:p>
      <w:pPr>
        <w:pStyle w:val="36"/>
        <w:numPr>
          <w:ilvl w:val="0"/>
          <w:numId w:val="86"/>
        </w:numPr>
        <w:spacing w:line="360" w:lineRule="auto"/>
        <w:ind w:firstLineChars="0"/>
        <w:rPr>
          <w:rFonts w:ascii="仿宋" w:hAnsi="仿宋" w:eastAsia="仿宋" w:cs="仿宋"/>
          <w:sz w:val="24"/>
          <w:szCs w:val="32"/>
        </w:rPr>
      </w:pPr>
      <w:r>
        <w:rPr>
          <w:rFonts w:ascii="仿宋" w:hAnsi="仿宋" w:eastAsia="仿宋" w:cs="仿宋"/>
          <w:sz w:val="24"/>
          <w:szCs w:val="32"/>
        </w:rPr>
        <w:t>数据泄露的数量重大</w:t>
      </w:r>
      <w:r>
        <w:rPr>
          <w:rFonts w:hint="eastAsia" w:ascii="仿宋" w:hAnsi="仿宋" w:eastAsia="仿宋" w:cs="仿宋"/>
          <w:sz w:val="24"/>
          <w:szCs w:val="32"/>
        </w:rPr>
        <w:t>。例如：</w:t>
      </w:r>
    </w:p>
    <w:p>
      <w:pPr>
        <w:pStyle w:val="36"/>
        <w:numPr>
          <w:ilvl w:val="0"/>
          <w:numId w:val="87"/>
        </w:numPr>
        <w:spacing w:line="360" w:lineRule="auto"/>
        <w:ind w:firstLineChars="0"/>
        <w:rPr>
          <w:rFonts w:ascii="仿宋" w:hAnsi="仿宋" w:eastAsia="仿宋" w:cs="仿宋"/>
          <w:sz w:val="24"/>
          <w:szCs w:val="32"/>
        </w:rPr>
      </w:pPr>
      <w:r>
        <w:rPr>
          <w:rFonts w:hint="eastAsia" w:ascii="仿宋" w:hAnsi="仿宋" w:eastAsia="仿宋" w:cs="仿宋"/>
          <w:sz w:val="24"/>
          <w:szCs w:val="32"/>
        </w:rPr>
        <w:t>个人信息泄露五千条以上。</w:t>
      </w:r>
    </w:p>
    <w:p>
      <w:pPr>
        <w:pStyle w:val="36"/>
        <w:numPr>
          <w:ilvl w:val="0"/>
          <w:numId w:val="87"/>
        </w:numPr>
        <w:spacing w:line="360" w:lineRule="auto"/>
        <w:ind w:firstLineChars="0"/>
        <w:rPr>
          <w:rFonts w:ascii="仿宋" w:hAnsi="仿宋" w:eastAsia="仿宋" w:cs="仿宋"/>
          <w:sz w:val="24"/>
          <w:szCs w:val="32"/>
        </w:rPr>
      </w:pPr>
      <w:r>
        <w:rPr>
          <w:rFonts w:ascii="仿宋" w:hAnsi="仿宋" w:eastAsia="仿宋" w:cs="仿宋"/>
          <w:sz w:val="24"/>
          <w:szCs w:val="32"/>
        </w:rPr>
        <w:t>个人敏感信息泄露五百</w:t>
      </w:r>
      <w:r>
        <w:rPr>
          <w:rFonts w:hint="eastAsia" w:ascii="仿宋" w:hAnsi="仿宋" w:eastAsia="仿宋" w:cs="仿宋"/>
          <w:sz w:val="24"/>
          <w:szCs w:val="32"/>
        </w:rPr>
        <w:t>条以上。</w:t>
      </w:r>
    </w:p>
    <w:p>
      <w:pPr>
        <w:pStyle w:val="36"/>
        <w:numPr>
          <w:ilvl w:val="0"/>
          <w:numId w:val="86"/>
        </w:numPr>
        <w:spacing w:line="360" w:lineRule="auto"/>
        <w:ind w:firstLineChars="0"/>
        <w:rPr>
          <w:rFonts w:ascii="仿宋" w:hAnsi="仿宋" w:eastAsia="仿宋" w:cs="仿宋"/>
          <w:sz w:val="24"/>
          <w:szCs w:val="32"/>
        </w:rPr>
      </w:pPr>
      <w:r>
        <w:rPr>
          <w:rFonts w:ascii="仿宋" w:hAnsi="仿宋" w:eastAsia="仿宋" w:cs="仿宋"/>
          <w:sz w:val="24"/>
          <w:szCs w:val="32"/>
        </w:rPr>
        <w:t>产生重大的影响或损失</w:t>
      </w:r>
      <w:r>
        <w:rPr>
          <w:rFonts w:hint="eastAsia" w:ascii="仿宋" w:hAnsi="仿宋" w:eastAsia="仿宋" w:cs="仿宋"/>
          <w:sz w:val="24"/>
          <w:szCs w:val="32"/>
        </w:rPr>
        <w:t>，即数据安全事件已扩散至公司外部，但只限于部分行业或区域，明显威胁到客户资金及核心数据安全，对社会秩序造成显著影响，并对公司的品牌、声誉、财产、形象造成重大影响，且在一定时期和阶段弥补损害需要耗费较大资源。</w:t>
      </w:r>
    </w:p>
    <w:p>
      <w:pPr>
        <w:pStyle w:val="36"/>
        <w:spacing w:line="360" w:lineRule="auto"/>
        <w:ind w:left="480" w:firstLine="0" w:firstLineChars="0"/>
        <w:rPr>
          <w:rFonts w:ascii="仿宋" w:hAnsi="仿宋" w:eastAsia="仿宋" w:cs="仿宋"/>
          <w:sz w:val="24"/>
          <w:szCs w:val="32"/>
        </w:rPr>
      </w:pPr>
      <w:r>
        <w:rPr>
          <w:rFonts w:ascii="仿宋" w:hAnsi="仿宋" w:eastAsia="仿宋" w:cs="仿宋"/>
          <w:sz w:val="24"/>
          <w:szCs w:val="32"/>
        </w:rPr>
        <w:t>举例</w:t>
      </w:r>
      <w:r>
        <w:rPr>
          <w:rFonts w:hint="eastAsia" w:ascii="仿宋" w:hAnsi="仿宋" w:eastAsia="仿宋" w:cs="仿宋"/>
          <w:sz w:val="24"/>
          <w:szCs w:val="32"/>
        </w:rPr>
        <w:t>：</w:t>
      </w:r>
    </w:p>
    <w:p>
      <w:pPr>
        <w:pStyle w:val="36"/>
        <w:numPr>
          <w:ilvl w:val="0"/>
          <w:numId w:val="88"/>
        </w:numPr>
        <w:spacing w:line="360" w:lineRule="auto"/>
        <w:ind w:firstLineChars="0"/>
        <w:rPr>
          <w:rFonts w:ascii="仿宋" w:hAnsi="仿宋" w:eastAsia="仿宋" w:cs="仿宋"/>
          <w:sz w:val="24"/>
          <w:szCs w:val="32"/>
        </w:rPr>
      </w:pPr>
      <w:r>
        <w:rPr>
          <w:rFonts w:hint="eastAsia" w:ascii="仿宋" w:hAnsi="仿宋" w:eastAsia="仿宋" w:cs="仿宋"/>
          <w:sz w:val="24"/>
          <w:szCs w:val="32"/>
        </w:rPr>
        <w:t>C</w:t>
      </w:r>
      <w:r>
        <w:rPr>
          <w:rFonts w:ascii="仿宋" w:hAnsi="仿宋" w:eastAsia="仿宋" w:cs="仿宋"/>
          <w:sz w:val="24"/>
          <w:szCs w:val="32"/>
        </w:rPr>
        <w:t>3</w:t>
      </w:r>
      <w:r>
        <w:rPr>
          <w:rFonts w:hint="eastAsia" w:ascii="仿宋" w:hAnsi="仿宋" w:eastAsia="仿宋" w:cs="仿宋"/>
          <w:sz w:val="24"/>
          <w:szCs w:val="32"/>
        </w:rPr>
        <w:t>、C</w:t>
      </w:r>
      <w:r>
        <w:rPr>
          <w:rFonts w:ascii="仿宋" w:hAnsi="仿宋" w:eastAsia="仿宋" w:cs="仿宋"/>
          <w:sz w:val="24"/>
          <w:szCs w:val="32"/>
        </w:rPr>
        <w:t>4级别数据</w:t>
      </w:r>
      <w:r>
        <w:rPr>
          <w:rFonts w:hint="eastAsia" w:ascii="仿宋" w:hAnsi="仿宋" w:eastAsia="仿宋" w:cs="仿宋"/>
          <w:sz w:val="24"/>
          <w:szCs w:val="32"/>
        </w:rPr>
        <w:t>遭受</w:t>
      </w:r>
      <w:r>
        <w:rPr>
          <w:rFonts w:ascii="仿宋" w:hAnsi="仿宋" w:eastAsia="仿宋" w:cs="仿宋"/>
          <w:sz w:val="24"/>
          <w:szCs w:val="32"/>
        </w:rPr>
        <w:t>非法访问或传播事件</w:t>
      </w:r>
      <w:r>
        <w:rPr>
          <w:rFonts w:hint="eastAsia" w:ascii="仿宋" w:hAnsi="仿宋" w:eastAsia="仿宋" w:cs="仿宋"/>
          <w:sz w:val="24"/>
          <w:szCs w:val="32"/>
        </w:rPr>
        <w:t>。</w:t>
      </w:r>
    </w:p>
    <w:p>
      <w:pPr>
        <w:pStyle w:val="36"/>
        <w:numPr>
          <w:ilvl w:val="0"/>
          <w:numId w:val="88"/>
        </w:numPr>
        <w:spacing w:line="360" w:lineRule="auto"/>
        <w:ind w:firstLineChars="0"/>
        <w:rPr>
          <w:rFonts w:ascii="仿宋" w:hAnsi="仿宋" w:eastAsia="仿宋" w:cs="仿宋"/>
          <w:sz w:val="24"/>
          <w:szCs w:val="32"/>
        </w:rPr>
      </w:pPr>
      <w:r>
        <w:rPr>
          <w:rFonts w:hint="eastAsia" w:ascii="仿宋" w:hAnsi="仿宋" w:eastAsia="仿宋" w:cs="仿宋"/>
          <w:sz w:val="24"/>
          <w:szCs w:val="32"/>
        </w:rPr>
        <w:t>未经授权对外发布公司内部的C</w:t>
      </w:r>
      <w:r>
        <w:rPr>
          <w:rFonts w:ascii="仿宋" w:hAnsi="仿宋" w:eastAsia="仿宋" w:cs="仿宋"/>
          <w:sz w:val="24"/>
          <w:szCs w:val="32"/>
        </w:rPr>
        <w:t>3级别数据</w:t>
      </w:r>
      <w:r>
        <w:rPr>
          <w:rFonts w:hint="eastAsia" w:ascii="仿宋" w:hAnsi="仿宋" w:eastAsia="仿宋" w:cs="仿宋"/>
          <w:sz w:val="24"/>
          <w:szCs w:val="32"/>
        </w:rPr>
        <w:t>、</w:t>
      </w:r>
      <w:r>
        <w:rPr>
          <w:rFonts w:ascii="仿宋" w:hAnsi="仿宋" w:eastAsia="仿宋" w:cs="仿宋"/>
          <w:sz w:val="24"/>
          <w:szCs w:val="32"/>
        </w:rPr>
        <w:t>大范围传播损害公司形象利益</w:t>
      </w:r>
      <w:r>
        <w:rPr>
          <w:rFonts w:hint="eastAsia" w:ascii="仿宋" w:hAnsi="仿宋" w:eastAsia="仿宋" w:cs="仿宋"/>
          <w:sz w:val="24"/>
          <w:szCs w:val="32"/>
        </w:rPr>
        <w:t>的言论事件。</w:t>
      </w:r>
    </w:p>
    <w:p>
      <w:pPr>
        <w:numPr>
          <w:ilvl w:val="2"/>
          <w:numId w:val="82"/>
        </w:numPr>
        <w:spacing w:line="360" w:lineRule="auto"/>
        <w:rPr>
          <w:rFonts w:ascii="仿宋" w:hAnsi="仿宋" w:eastAsia="仿宋" w:cs="仿宋"/>
          <w:sz w:val="24"/>
          <w:szCs w:val="32"/>
        </w:rPr>
      </w:pPr>
      <w:r>
        <w:rPr>
          <w:rFonts w:ascii="仿宋" w:hAnsi="仿宋" w:eastAsia="仿宋" w:cs="仿宋"/>
          <w:sz w:val="24"/>
          <w:szCs w:val="32"/>
        </w:rPr>
        <w:t>较大事件</w:t>
      </w:r>
      <w:r>
        <w:rPr>
          <w:rFonts w:hint="eastAsia" w:ascii="仿宋" w:hAnsi="仿宋" w:eastAsia="仿宋" w:cs="仿宋"/>
          <w:sz w:val="24"/>
          <w:szCs w:val="32"/>
        </w:rPr>
        <w:t>（</w:t>
      </w:r>
      <w:r>
        <w:rPr>
          <w:rFonts w:ascii="仿宋" w:hAnsi="仿宋" w:eastAsia="仿宋" w:cs="仿宋"/>
          <w:sz w:val="24"/>
          <w:szCs w:val="32"/>
        </w:rPr>
        <w:t>III</w:t>
      </w:r>
      <w:r>
        <w:rPr>
          <w:rFonts w:hint="eastAsia" w:ascii="仿宋" w:hAnsi="仿宋" w:eastAsia="仿宋" w:cs="仿宋"/>
          <w:sz w:val="24"/>
          <w:szCs w:val="32"/>
        </w:rPr>
        <w:t>级）</w:t>
      </w:r>
    </w:p>
    <w:p>
      <w:pPr>
        <w:pStyle w:val="36"/>
        <w:spacing w:line="360" w:lineRule="auto"/>
        <w:ind w:firstLineChars="0"/>
        <w:rPr>
          <w:rFonts w:ascii="仿宋" w:hAnsi="仿宋" w:eastAsia="仿宋" w:cs="仿宋"/>
          <w:sz w:val="24"/>
          <w:szCs w:val="32"/>
        </w:rPr>
      </w:pPr>
      <w:r>
        <w:rPr>
          <w:rFonts w:hint="eastAsia" w:ascii="仿宋" w:hAnsi="仿宋" w:eastAsia="仿宋" w:cs="仿宋"/>
          <w:sz w:val="24"/>
          <w:szCs w:val="32"/>
        </w:rPr>
        <w:t>较大事件是指能够导致较严重影响或破坏的数据安全事件，包含以下情况：</w:t>
      </w:r>
    </w:p>
    <w:p>
      <w:pPr>
        <w:pStyle w:val="36"/>
        <w:numPr>
          <w:ilvl w:val="0"/>
          <w:numId w:val="89"/>
        </w:numPr>
        <w:spacing w:line="360" w:lineRule="auto"/>
        <w:ind w:firstLineChars="0"/>
        <w:rPr>
          <w:rFonts w:ascii="仿宋" w:hAnsi="仿宋" w:eastAsia="仿宋" w:cs="仿宋"/>
          <w:sz w:val="24"/>
          <w:szCs w:val="32"/>
        </w:rPr>
      </w:pPr>
      <w:r>
        <w:rPr>
          <w:rFonts w:ascii="仿宋" w:hAnsi="仿宋" w:eastAsia="仿宋" w:cs="仿宋"/>
          <w:sz w:val="24"/>
          <w:szCs w:val="32"/>
        </w:rPr>
        <w:t>数据泄露的数据较大</w:t>
      </w:r>
      <w:r>
        <w:rPr>
          <w:rFonts w:hint="eastAsia" w:ascii="仿宋" w:hAnsi="仿宋" w:eastAsia="仿宋" w:cs="仿宋"/>
          <w:sz w:val="24"/>
          <w:szCs w:val="32"/>
        </w:rPr>
        <w:t>。</w:t>
      </w:r>
    </w:p>
    <w:p>
      <w:pPr>
        <w:pStyle w:val="36"/>
        <w:numPr>
          <w:ilvl w:val="0"/>
          <w:numId w:val="89"/>
        </w:numPr>
        <w:spacing w:line="360" w:lineRule="auto"/>
        <w:ind w:firstLineChars="0"/>
        <w:rPr>
          <w:rFonts w:ascii="仿宋" w:hAnsi="仿宋" w:eastAsia="仿宋" w:cs="仿宋"/>
          <w:sz w:val="24"/>
          <w:szCs w:val="32"/>
        </w:rPr>
      </w:pPr>
      <w:r>
        <w:rPr>
          <w:rFonts w:hint="eastAsia" w:ascii="仿宋" w:hAnsi="仿宋" w:eastAsia="仿宋" w:cs="仿宋"/>
          <w:sz w:val="24"/>
          <w:szCs w:val="32"/>
        </w:rPr>
        <w:t>产生较大的影响或损失，即数据安全事件已扩散至公司外部，但是仍处于公司内部可控、可处理的范围，对社会秩序和公司品牌、声誉、财产、形象造成一定的影响，且对公司造成一定的轻微经济损失或无经济损失。</w:t>
      </w:r>
    </w:p>
    <w:p>
      <w:pPr>
        <w:pStyle w:val="36"/>
        <w:numPr>
          <w:ilvl w:val="0"/>
          <w:numId w:val="90"/>
        </w:numPr>
        <w:spacing w:line="360" w:lineRule="auto"/>
        <w:ind w:firstLineChars="0"/>
        <w:rPr>
          <w:rFonts w:ascii="仿宋" w:hAnsi="仿宋" w:eastAsia="仿宋" w:cs="仿宋"/>
          <w:sz w:val="24"/>
          <w:szCs w:val="32"/>
        </w:rPr>
      </w:pPr>
      <w:r>
        <w:rPr>
          <w:rFonts w:hint="eastAsia" w:ascii="仿宋" w:hAnsi="仿宋" w:eastAsia="仿宋" w:cs="仿宋"/>
          <w:sz w:val="24"/>
          <w:szCs w:val="32"/>
        </w:rPr>
        <w:t>个人信息泄露五千条以下。</w:t>
      </w:r>
    </w:p>
    <w:p>
      <w:pPr>
        <w:pStyle w:val="36"/>
        <w:numPr>
          <w:ilvl w:val="0"/>
          <w:numId w:val="90"/>
        </w:numPr>
        <w:spacing w:line="360" w:lineRule="auto"/>
        <w:ind w:firstLineChars="0"/>
        <w:rPr>
          <w:rFonts w:ascii="仿宋" w:hAnsi="仿宋" w:eastAsia="仿宋" w:cs="仿宋"/>
          <w:sz w:val="24"/>
          <w:szCs w:val="32"/>
        </w:rPr>
      </w:pPr>
      <w:r>
        <w:rPr>
          <w:rFonts w:ascii="仿宋" w:hAnsi="仿宋" w:eastAsia="仿宋" w:cs="仿宋"/>
          <w:sz w:val="24"/>
          <w:szCs w:val="32"/>
        </w:rPr>
        <w:t>个人敏感信息泄露五</w:t>
      </w:r>
      <w:r>
        <w:rPr>
          <w:rFonts w:hint="eastAsia" w:ascii="仿宋" w:hAnsi="仿宋" w:eastAsia="仿宋" w:cs="仿宋"/>
          <w:sz w:val="24"/>
          <w:szCs w:val="32"/>
        </w:rPr>
        <w:t>百条以下。</w:t>
      </w:r>
    </w:p>
    <w:p>
      <w:pPr>
        <w:pStyle w:val="36"/>
        <w:spacing w:line="360" w:lineRule="auto"/>
        <w:ind w:left="480" w:firstLine="0" w:firstLineChars="0"/>
        <w:rPr>
          <w:rFonts w:ascii="仿宋" w:hAnsi="仿宋" w:eastAsia="仿宋" w:cs="仿宋"/>
          <w:sz w:val="24"/>
          <w:szCs w:val="32"/>
        </w:rPr>
      </w:pPr>
      <w:r>
        <w:rPr>
          <w:rFonts w:ascii="仿宋" w:hAnsi="仿宋" w:eastAsia="仿宋" w:cs="仿宋"/>
          <w:sz w:val="24"/>
          <w:szCs w:val="32"/>
        </w:rPr>
        <w:t>举例</w:t>
      </w:r>
      <w:r>
        <w:rPr>
          <w:rFonts w:hint="eastAsia" w:ascii="仿宋" w:hAnsi="仿宋" w:eastAsia="仿宋" w:cs="仿宋"/>
          <w:sz w:val="24"/>
          <w:szCs w:val="32"/>
        </w:rPr>
        <w:t>：</w:t>
      </w:r>
    </w:p>
    <w:p>
      <w:pPr>
        <w:pStyle w:val="36"/>
        <w:numPr>
          <w:ilvl w:val="0"/>
          <w:numId w:val="91"/>
        </w:numPr>
        <w:spacing w:line="360" w:lineRule="auto"/>
        <w:ind w:firstLineChars="0"/>
        <w:rPr>
          <w:rFonts w:ascii="仿宋" w:hAnsi="仿宋" w:eastAsia="仿宋" w:cs="仿宋"/>
          <w:sz w:val="24"/>
          <w:szCs w:val="32"/>
        </w:rPr>
      </w:pPr>
      <w:r>
        <w:rPr>
          <w:rFonts w:ascii="仿宋" w:hAnsi="仿宋" w:eastAsia="仿宋" w:cs="仿宋"/>
          <w:sz w:val="24"/>
          <w:szCs w:val="32"/>
        </w:rPr>
        <w:t>公司</w:t>
      </w:r>
      <w:r>
        <w:rPr>
          <w:rFonts w:hint="eastAsia" w:ascii="仿宋" w:hAnsi="仿宋" w:eastAsia="仿宋" w:cs="仿宋"/>
          <w:sz w:val="24"/>
          <w:szCs w:val="32"/>
        </w:rPr>
        <w:t>信息</w:t>
      </w:r>
      <w:r>
        <w:rPr>
          <w:rFonts w:ascii="仿宋" w:hAnsi="仿宋" w:eastAsia="仿宋" w:cs="仿宋"/>
          <w:sz w:val="24"/>
          <w:szCs w:val="32"/>
        </w:rPr>
        <w:t>系统</w:t>
      </w:r>
      <w:r>
        <w:rPr>
          <w:rFonts w:hint="eastAsia" w:ascii="仿宋" w:hAnsi="仿宋" w:eastAsia="仿宋" w:cs="仿宋"/>
          <w:sz w:val="24"/>
          <w:szCs w:val="32"/>
        </w:rPr>
        <w:t>、</w:t>
      </w:r>
      <w:r>
        <w:rPr>
          <w:rFonts w:ascii="仿宋" w:hAnsi="仿宋" w:eastAsia="仿宋" w:cs="仿宋"/>
          <w:sz w:val="24"/>
          <w:szCs w:val="32"/>
        </w:rPr>
        <w:t>网站</w:t>
      </w:r>
      <w:r>
        <w:rPr>
          <w:rFonts w:hint="eastAsia" w:ascii="仿宋" w:hAnsi="仿宋" w:eastAsia="仿宋" w:cs="仿宋"/>
          <w:sz w:val="24"/>
          <w:szCs w:val="32"/>
        </w:rPr>
        <w:t>、</w:t>
      </w:r>
      <w:r>
        <w:rPr>
          <w:rFonts w:ascii="仿宋" w:hAnsi="仿宋" w:eastAsia="仿宋" w:cs="仿宋"/>
          <w:sz w:val="24"/>
          <w:szCs w:val="32"/>
        </w:rPr>
        <w:t>部门范围内的网络通信或者应用系统受到影响</w:t>
      </w:r>
      <w:r>
        <w:rPr>
          <w:rFonts w:hint="eastAsia" w:ascii="仿宋" w:hAnsi="仿宋" w:eastAsia="仿宋" w:cs="仿宋"/>
          <w:sz w:val="24"/>
          <w:szCs w:val="32"/>
        </w:rPr>
        <w:t>，</w:t>
      </w:r>
      <w:r>
        <w:rPr>
          <w:rFonts w:ascii="仿宋" w:hAnsi="仿宋" w:eastAsia="仿宋" w:cs="仿宋"/>
          <w:sz w:val="24"/>
          <w:szCs w:val="32"/>
        </w:rPr>
        <w:t>并关系到业务正常运行的事件和应用系统的用户账户被非法使用</w:t>
      </w:r>
      <w:r>
        <w:rPr>
          <w:rFonts w:hint="eastAsia" w:ascii="仿宋" w:hAnsi="仿宋" w:eastAsia="仿宋" w:cs="仿宋"/>
          <w:sz w:val="24"/>
          <w:szCs w:val="32"/>
        </w:rPr>
        <w:t>，</w:t>
      </w:r>
      <w:r>
        <w:rPr>
          <w:rFonts w:ascii="仿宋" w:hAnsi="仿宋" w:eastAsia="仿宋" w:cs="仿宋"/>
          <w:sz w:val="24"/>
          <w:szCs w:val="32"/>
        </w:rPr>
        <w:t>遭受非法访问和泄露</w:t>
      </w:r>
      <w:r>
        <w:rPr>
          <w:rFonts w:hint="eastAsia" w:ascii="仿宋" w:hAnsi="仿宋" w:eastAsia="仿宋" w:cs="仿宋"/>
          <w:sz w:val="24"/>
          <w:szCs w:val="32"/>
        </w:rPr>
        <w:t>、</w:t>
      </w:r>
      <w:r>
        <w:rPr>
          <w:rFonts w:ascii="仿宋" w:hAnsi="仿宋" w:eastAsia="仿宋" w:cs="仿宋"/>
          <w:sz w:val="24"/>
          <w:szCs w:val="32"/>
        </w:rPr>
        <w:t>传播损害公司形象利益的言论等事件</w:t>
      </w:r>
      <w:r>
        <w:rPr>
          <w:rFonts w:hint="eastAsia" w:ascii="仿宋" w:hAnsi="仿宋" w:eastAsia="仿宋" w:cs="仿宋"/>
          <w:sz w:val="24"/>
          <w:szCs w:val="32"/>
        </w:rPr>
        <w:t>，</w:t>
      </w:r>
      <w:r>
        <w:rPr>
          <w:rFonts w:ascii="仿宋" w:hAnsi="仿宋" w:eastAsia="仿宋" w:cs="仿宋"/>
          <w:sz w:val="24"/>
          <w:szCs w:val="32"/>
        </w:rPr>
        <w:t>但是这些事件仅出现社会舆论小范围报告</w:t>
      </w:r>
      <w:r>
        <w:rPr>
          <w:rFonts w:hint="eastAsia" w:ascii="仿宋" w:hAnsi="仿宋" w:eastAsia="仿宋" w:cs="仿宋"/>
          <w:sz w:val="24"/>
          <w:szCs w:val="32"/>
        </w:rPr>
        <w:t>，</w:t>
      </w:r>
      <w:r>
        <w:rPr>
          <w:rFonts w:ascii="仿宋" w:hAnsi="仿宋" w:eastAsia="仿宋" w:cs="仿宋"/>
          <w:sz w:val="24"/>
          <w:szCs w:val="32"/>
        </w:rPr>
        <w:t>没有给公司带来实际的损失和影响的事件</w:t>
      </w:r>
      <w:r>
        <w:rPr>
          <w:rFonts w:hint="eastAsia" w:ascii="仿宋" w:hAnsi="仿宋" w:eastAsia="仿宋" w:cs="仿宋"/>
          <w:sz w:val="24"/>
          <w:szCs w:val="32"/>
        </w:rPr>
        <w:t>。</w:t>
      </w:r>
    </w:p>
    <w:p>
      <w:pPr>
        <w:numPr>
          <w:ilvl w:val="2"/>
          <w:numId w:val="82"/>
        </w:numPr>
        <w:spacing w:line="360" w:lineRule="auto"/>
        <w:rPr>
          <w:rFonts w:ascii="仿宋" w:hAnsi="仿宋" w:eastAsia="仿宋" w:cs="仿宋"/>
          <w:sz w:val="24"/>
          <w:szCs w:val="32"/>
        </w:rPr>
      </w:pPr>
      <w:r>
        <w:rPr>
          <w:rFonts w:hint="eastAsia" w:ascii="仿宋" w:hAnsi="仿宋" w:eastAsia="仿宋" w:cs="仿宋"/>
          <w:sz w:val="24"/>
          <w:szCs w:val="32"/>
        </w:rPr>
        <w:t>一般</w:t>
      </w:r>
      <w:r>
        <w:rPr>
          <w:rFonts w:ascii="仿宋" w:hAnsi="仿宋" w:eastAsia="仿宋" w:cs="仿宋"/>
          <w:sz w:val="24"/>
          <w:szCs w:val="32"/>
        </w:rPr>
        <w:t>事件</w:t>
      </w:r>
      <w:r>
        <w:rPr>
          <w:rFonts w:hint="eastAsia" w:ascii="仿宋" w:hAnsi="仿宋" w:eastAsia="仿宋" w:cs="仿宋"/>
          <w:sz w:val="24"/>
          <w:szCs w:val="32"/>
        </w:rPr>
        <w:t>（</w:t>
      </w:r>
      <w:r>
        <w:rPr>
          <w:rFonts w:ascii="仿宋" w:hAnsi="仿宋" w:eastAsia="仿宋" w:cs="仿宋"/>
          <w:sz w:val="24"/>
          <w:szCs w:val="32"/>
        </w:rPr>
        <w:t>IV</w:t>
      </w:r>
      <w:r>
        <w:rPr>
          <w:rFonts w:hint="eastAsia" w:ascii="仿宋" w:hAnsi="仿宋" w:eastAsia="仿宋" w:cs="仿宋"/>
          <w:sz w:val="24"/>
          <w:szCs w:val="32"/>
        </w:rPr>
        <w:t>级）</w:t>
      </w:r>
    </w:p>
    <w:p>
      <w:pPr>
        <w:pStyle w:val="36"/>
        <w:spacing w:line="360" w:lineRule="auto"/>
        <w:ind w:firstLineChars="0"/>
        <w:rPr>
          <w:rFonts w:ascii="仿宋" w:hAnsi="仿宋" w:eastAsia="仿宋" w:cs="仿宋"/>
          <w:sz w:val="24"/>
          <w:szCs w:val="32"/>
        </w:rPr>
      </w:pPr>
      <w:r>
        <w:rPr>
          <w:rFonts w:hint="eastAsia" w:ascii="仿宋" w:hAnsi="仿宋" w:eastAsia="仿宋" w:cs="仿宋"/>
          <w:sz w:val="24"/>
          <w:szCs w:val="32"/>
        </w:rPr>
        <w:t>一般事件是指不满足以上条件的数据安全事件，包含以下情况：</w:t>
      </w:r>
    </w:p>
    <w:p>
      <w:pPr>
        <w:pStyle w:val="36"/>
        <w:numPr>
          <w:ilvl w:val="0"/>
          <w:numId w:val="92"/>
        </w:numPr>
        <w:spacing w:line="360" w:lineRule="auto"/>
        <w:ind w:firstLineChars="0"/>
        <w:rPr>
          <w:rFonts w:ascii="仿宋" w:hAnsi="仿宋" w:eastAsia="仿宋" w:cs="仿宋"/>
          <w:sz w:val="24"/>
          <w:szCs w:val="32"/>
        </w:rPr>
      </w:pPr>
      <w:r>
        <w:rPr>
          <w:rFonts w:ascii="仿宋" w:hAnsi="仿宋" w:eastAsia="仿宋" w:cs="仿宋"/>
          <w:sz w:val="24"/>
          <w:szCs w:val="32"/>
        </w:rPr>
        <w:t>数据泄露数量</w:t>
      </w:r>
      <w:r>
        <w:rPr>
          <w:rFonts w:hint="eastAsia" w:ascii="仿宋" w:hAnsi="仿宋" w:eastAsia="仿宋" w:cs="仿宋"/>
          <w:sz w:val="24"/>
          <w:szCs w:val="32"/>
        </w:rPr>
        <w:t>小于</w:t>
      </w:r>
      <w:r>
        <w:rPr>
          <w:rFonts w:ascii="仿宋" w:hAnsi="仿宋" w:eastAsia="仿宋" w:cs="仿宋"/>
          <w:sz w:val="24"/>
          <w:szCs w:val="32"/>
        </w:rPr>
        <w:t>以上事件的数量</w:t>
      </w:r>
      <w:r>
        <w:rPr>
          <w:rFonts w:hint="eastAsia" w:ascii="仿宋" w:hAnsi="仿宋" w:eastAsia="仿宋" w:cs="仿宋"/>
          <w:sz w:val="24"/>
          <w:szCs w:val="32"/>
        </w:rPr>
        <w:t>，</w:t>
      </w:r>
      <w:r>
        <w:rPr>
          <w:rFonts w:ascii="仿宋" w:hAnsi="仿宋" w:eastAsia="仿宋" w:cs="仿宋"/>
          <w:sz w:val="24"/>
          <w:szCs w:val="32"/>
        </w:rPr>
        <w:t>可以在内部处理的可控数量</w:t>
      </w:r>
      <w:r>
        <w:rPr>
          <w:rFonts w:hint="eastAsia" w:ascii="仿宋" w:hAnsi="仿宋" w:eastAsia="仿宋" w:cs="仿宋"/>
          <w:sz w:val="24"/>
          <w:szCs w:val="32"/>
        </w:rPr>
        <w:t>。</w:t>
      </w:r>
    </w:p>
    <w:p>
      <w:pPr>
        <w:pStyle w:val="36"/>
        <w:numPr>
          <w:ilvl w:val="0"/>
          <w:numId w:val="92"/>
        </w:numPr>
        <w:spacing w:line="360" w:lineRule="auto"/>
        <w:ind w:firstLineChars="0"/>
        <w:rPr>
          <w:rFonts w:ascii="仿宋" w:hAnsi="仿宋" w:eastAsia="仿宋" w:cs="仿宋"/>
          <w:sz w:val="24"/>
          <w:szCs w:val="32"/>
        </w:rPr>
      </w:pPr>
      <w:r>
        <w:rPr>
          <w:rFonts w:hint="eastAsia" w:ascii="仿宋" w:hAnsi="仿宋" w:eastAsia="仿宋" w:cs="仿宋"/>
          <w:sz w:val="24"/>
          <w:szCs w:val="32"/>
        </w:rPr>
        <w:t>产生一般的影响，即数据安全事件影响范围局限于公司内部，未对社会秩序和公司声誉造成任何影响，但存在客户资金及敏感信息相关安全风险的可能性。</w:t>
      </w:r>
    </w:p>
    <w:p>
      <w:pPr>
        <w:pStyle w:val="36"/>
        <w:spacing w:line="360" w:lineRule="auto"/>
        <w:ind w:left="480" w:firstLine="0" w:firstLineChars="0"/>
        <w:rPr>
          <w:rFonts w:ascii="仿宋" w:hAnsi="仿宋" w:eastAsia="仿宋" w:cs="仿宋"/>
          <w:sz w:val="24"/>
          <w:szCs w:val="32"/>
        </w:rPr>
      </w:pPr>
      <w:r>
        <w:rPr>
          <w:rFonts w:ascii="仿宋" w:hAnsi="仿宋" w:eastAsia="仿宋" w:cs="仿宋"/>
          <w:sz w:val="24"/>
          <w:szCs w:val="32"/>
        </w:rPr>
        <w:t>举例</w:t>
      </w:r>
      <w:r>
        <w:rPr>
          <w:rFonts w:hint="eastAsia" w:ascii="仿宋" w:hAnsi="仿宋" w:eastAsia="仿宋" w:cs="仿宋"/>
          <w:sz w:val="24"/>
          <w:szCs w:val="32"/>
        </w:rPr>
        <w:t>：</w:t>
      </w:r>
    </w:p>
    <w:p>
      <w:pPr>
        <w:pStyle w:val="36"/>
        <w:numPr>
          <w:ilvl w:val="0"/>
          <w:numId w:val="93"/>
        </w:numPr>
        <w:spacing w:line="360" w:lineRule="auto"/>
        <w:ind w:firstLineChars="0"/>
        <w:rPr>
          <w:rFonts w:ascii="仿宋" w:hAnsi="仿宋" w:eastAsia="仿宋" w:cs="仿宋"/>
          <w:sz w:val="24"/>
          <w:szCs w:val="32"/>
        </w:rPr>
      </w:pPr>
      <w:r>
        <w:rPr>
          <w:rFonts w:ascii="仿宋" w:hAnsi="仿宋" w:eastAsia="仿宋" w:cs="仿宋"/>
          <w:sz w:val="24"/>
          <w:szCs w:val="32"/>
        </w:rPr>
        <w:t>公司</w:t>
      </w:r>
      <w:r>
        <w:rPr>
          <w:rFonts w:hint="eastAsia" w:ascii="仿宋" w:hAnsi="仿宋" w:eastAsia="仿宋" w:cs="仿宋"/>
          <w:sz w:val="24"/>
          <w:szCs w:val="32"/>
        </w:rPr>
        <w:t>内小范围出现的网络延时或故障，信息系统功能缺陷或短暂不可用，导致个人用户或业务受影响等技术层面的事件，或</w:t>
      </w:r>
      <w:r>
        <w:rPr>
          <w:rFonts w:ascii="仿宋" w:hAnsi="仿宋" w:eastAsia="仿宋" w:cs="仿宋"/>
          <w:sz w:val="24"/>
          <w:szCs w:val="32"/>
        </w:rPr>
        <w:t>部分员工无意识的违反</w:t>
      </w:r>
      <w:r>
        <w:rPr>
          <w:rFonts w:hint="eastAsia" w:ascii="仿宋" w:hAnsi="仿宋" w:eastAsia="仿宋" w:cs="仿宋"/>
          <w:sz w:val="24"/>
          <w:szCs w:val="32"/>
        </w:rPr>
        <w:t>数据</w:t>
      </w:r>
      <w:r>
        <w:rPr>
          <w:rFonts w:ascii="仿宋" w:hAnsi="仿宋" w:eastAsia="仿宋" w:cs="仿宋"/>
          <w:sz w:val="24"/>
          <w:szCs w:val="32"/>
        </w:rPr>
        <w:t>安全管理制度等管理层面的事件</w:t>
      </w:r>
      <w:r>
        <w:rPr>
          <w:rFonts w:hint="eastAsia" w:ascii="仿宋" w:hAnsi="仿宋" w:eastAsia="仿宋" w:cs="仿宋"/>
          <w:sz w:val="24"/>
          <w:szCs w:val="32"/>
        </w:rPr>
        <w:t>，</w:t>
      </w:r>
      <w:r>
        <w:rPr>
          <w:rFonts w:ascii="仿宋" w:hAnsi="仿宋" w:eastAsia="仿宋" w:cs="仿宋"/>
          <w:sz w:val="24"/>
          <w:szCs w:val="32"/>
        </w:rPr>
        <w:t>但是这些事件</w:t>
      </w:r>
      <w:r>
        <w:rPr>
          <w:rFonts w:hint="eastAsia" w:ascii="仿宋" w:hAnsi="仿宋" w:eastAsia="仿宋" w:cs="仿宋"/>
          <w:sz w:val="24"/>
          <w:szCs w:val="32"/>
        </w:rPr>
        <w:t>未</w:t>
      </w:r>
      <w:r>
        <w:rPr>
          <w:rFonts w:ascii="仿宋" w:hAnsi="仿宋" w:eastAsia="仿宋" w:cs="仿宋"/>
          <w:sz w:val="24"/>
          <w:szCs w:val="32"/>
        </w:rPr>
        <w:t>给公司带来实际的损失和影响的事件</w:t>
      </w:r>
      <w:r>
        <w:rPr>
          <w:rFonts w:hint="eastAsia" w:ascii="仿宋" w:hAnsi="仿宋" w:eastAsia="仿宋" w:cs="仿宋"/>
          <w:sz w:val="24"/>
          <w:szCs w:val="32"/>
        </w:rPr>
        <w:t>。</w:t>
      </w:r>
    </w:p>
    <w:p>
      <w:pPr>
        <w:pStyle w:val="28"/>
        <w:ind w:left="0"/>
        <w:rPr>
          <w:rFonts w:ascii="仿宋" w:hAnsi="仿宋" w:cs="仿宋"/>
          <w:sz w:val="24"/>
        </w:rPr>
      </w:pPr>
      <w:r>
        <w:rPr>
          <w:rFonts w:ascii="仿宋" w:hAnsi="仿宋" w:cs="仿宋"/>
          <w:sz w:val="24"/>
        </w:rPr>
        <w:t>数据安全事件定级基本原则</w:t>
      </w:r>
    </w:p>
    <w:p>
      <w:pPr>
        <w:pStyle w:val="36"/>
        <w:numPr>
          <w:ilvl w:val="0"/>
          <w:numId w:val="94"/>
        </w:numPr>
        <w:spacing w:line="360" w:lineRule="auto"/>
        <w:ind w:firstLineChars="0"/>
        <w:rPr>
          <w:rFonts w:ascii="仿宋" w:hAnsi="仿宋" w:eastAsia="仿宋" w:cs="仿宋"/>
          <w:sz w:val="24"/>
          <w:szCs w:val="32"/>
        </w:rPr>
      </w:pPr>
      <w:r>
        <w:rPr>
          <w:rFonts w:hint="eastAsia" w:ascii="仿宋" w:hAnsi="仿宋" w:eastAsia="仿宋" w:cs="仿宋"/>
          <w:sz w:val="24"/>
          <w:szCs w:val="32"/>
        </w:rPr>
        <w:t>定级应依据就高不就低原则。</w:t>
      </w:r>
    </w:p>
    <w:p>
      <w:pPr>
        <w:pStyle w:val="36"/>
        <w:numPr>
          <w:ilvl w:val="0"/>
          <w:numId w:val="94"/>
        </w:numPr>
        <w:spacing w:line="360" w:lineRule="auto"/>
        <w:ind w:firstLineChars="0"/>
        <w:rPr>
          <w:rFonts w:ascii="仿宋" w:hAnsi="仿宋" w:eastAsia="仿宋" w:cs="仿宋"/>
          <w:sz w:val="24"/>
          <w:szCs w:val="32"/>
        </w:rPr>
      </w:pPr>
      <w:r>
        <w:rPr>
          <w:rFonts w:hint="eastAsia" w:ascii="仿宋" w:hAnsi="仿宋" w:eastAsia="仿宋" w:cs="仿宋"/>
          <w:sz w:val="24"/>
          <w:szCs w:val="32"/>
        </w:rPr>
        <w:t>当处理某一数据安全事件时，如果在处理的过程中出现事件泛化和蔓延，事件等级应直接提高一级，直至重大事件为止。</w:t>
      </w:r>
    </w:p>
    <w:p>
      <w:pPr>
        <w:pStyle w:val="28"/>
        <w:ind w:left="0"/>
        <w:rPr>
          <w:rFonts w:ascii="仿宋" w:hAnsi="仿宋" w:cs="仿宋"/>
          <w:sz w:val="24"/>
        </w:rPr>
      </w:pPr>
      <w:r>
        <w:rPr>
          <w:rFonts w:ascii="仿宋" w:hAnsi="仿宋" w:cs="仿宋"/>
          <w:sz w:val="24"/>
        </w:rPr>
        <w:t>数据安全事件评估</w:t>
      </w:r>
    </w:p>
    <w:p>
      <w:pPr>
        <w:pStyle w:val="36"/>
        <w:numPr>
          <w:ilvl w:val="0"/>
          <w:numId w:val="95"/>
        </w:numPr>
        <w:spacing w:line="360" w:lineRule="auto"/>
        <w:ind w:firstLineChars="0"/>
        <w:rPr>
          <w:rFonts w:ascii="仿宋" w:hAnsi="仿宋" w:eastAsia="仿宋" w:cs="仿宋"/>
          <w:sz w:val="24"/>
          <w:szCs w:val="32"/>
        </w:rPr>
      </w:pPr>
      <w:r>
        <w:rPr>
          <w:rFonts w:hint="eastAsia" w:ascii="仿宋" w:hAnsi="仿宋" w:eastAsia="仿宋" w:cs="仿宋"/>
          <w:sz w:val="24"/>
          <w:szCs w:val="32"/>
        </w:rPr>
        <w:t>数据安全管理员应根据数据安全发展事态或弱点导致的业务损失、社会影响以及被影响的业务重要程度等，判定安全事态的等级。</w:t>
      </w:r>
    </w:p>
    <w:p>
      <w:pPr>
        <w:pStyle w:val="36"/>
        <w:numPr>
          <w:ilvl w:val="0"/>
          <w:numId w:val="95"/>
        </w:numPr>
        <w:spacing w:line="360" w:lineRule="auto"/>
        <w:ind w:firstLineChars="0"/>
        <w:rPr>
          <w:rFonts w:ascii="仿宋" w:hAnsi="仿宋" w:eastAsia="仿宋" w:cs="仿宋"/>
          <w:sz w:val="24"/>
          <w:szCs w:val="32"/>
        </w:rPr>
      </w:pPr>
      <w:r>
        <w:rPr>
          <w:rFonts w:hint="eastAsia" w:ascii="仿宋" w:hAnsi="仿宋" w:eastAsia="仿宋" w:cs="仿宋"/>
          <w:sz w:val="24"/>
          <w:szCs w:val="32"/>
        </w:rPr>
        <w:t>经评估确认的数据安全事件，数据安全管理员应第一时间启动应急处理流程，相关团队成员必须积极配合响应。</w:t>
      </w:r>
    </w:p>
    <w:p>
      <w:pPr>
        <w:pStyle w:val="36"/>
        <w:numPr>
          <w:ilvl w:val="0"/>
          <w:numId w:val="95"/>
        </w:numPr>
        <w:spacing w:line="360" w:lineRule="auto"/>
        <w:ind w:firstLineChars="0"/>
        <w:rPr>
          <w:rFonts w:ascii="仿宋" w:hAnsi="仿宋" w:eastAsia="仿宋" w:cs="仿宋"/>
          <w:sz w:val="24"/>
          <w:szCs w:val="32"/>
        </w:rPr>
      </w:pPr>
      <w:r>
        <w:rPr>
          <w:rFonts w:hint="eastAsia" w:ascii="仿宋" w:hAnsi="仿宋" w:eastAsia="仿宋" w:cs="仿宋"/>
          <w:sz w:val="24"/>
          <w:szCs w:val="32"/>
        </w:rPr>
        <w:t>经评估确认，非数据安全事件的常规安全问题，由各相关团队自行负责跟进处理，并及时向数据安全管理小组和各部门数据接口人报告处置情况。</w:t>
      </w:r>
    </w:p>
    <w:p>
      <w:pPr>
        <w:pStyle w:val="28"/>
        <w:ind w:left="0"/>
        <w:rPr>
          <w:rFonts w:ascii="仿宋" w:hAnsi="仿宋" w:cs="仿宋"/>
          <w:sz w:val="24"/>
        </w:rPr>
      </w:pPr>
      <w:r>
        <w:rPr>
          <w:rFonts w:ascii="仿宋" w:hAnsi="仿宋" w:cs="仿宋"/>
          <w:sz w:val="24"/>
        </w:rPr>
        <w:t>数据安全事件</w:t>
      </w:r>
      <w:r>
        <w:rPr>
          <w:rFonts w:hint="eastAsia" w:ascii="仿宋" w:hAnsi="仿宋" w:cs="仿宋"/>
          <w:sz w:val="24"/>
        </w:rPr>
        <w:t>应急响应</w:t>
      </w:r>
    </w:p>
    <w:p>
      <w:pPr>
        <w:pStyle w:val="36"/>
        <w:numPr>
          <w:ilvl w:val="0"/>
          <w:numId w:val="96"/>
        </w:numPr>
        <w:spacing w:line="360" w:lineRule="auto"/>
        <w:ind w:firstLineChars="0"/>
        <w:rPr>
          <w:rFonts w:ascii="仿宋" w:hAnsi="仿宋" w:eastAsia="仿宋" w:cs="仿宋"/>
          <w:sz w:val="24"/>
          <w:szCs w:val="32"/>
        </w:rPr>
      </w:pPr>
      <w:r>
        <w:rPr>
          <w:rFonts w:ascii="仿宋" w:hAnsi="仿宋" w:eastAsia="仿宋" w:cs="仿宋"/>
          <w:sz w:val="24"/>
          <w:szCs w:val="32"/>
        </w:rPr>
        <w:t>数据安全事件发生时</w:t>
      </w:r>
      <w:r>
        <w:rPr>
          <w:rFonts w:hint="eastAsia" w:ascii="仿宋" w:hAnsi="仿宋" w:eastAsia="仿宋" w:cs="仿宋"/>
          <w:sz w:val="24"/>
          <w:szCs w:val="32"/>
        </w:rPr>
        <w:t>，</w:t>
      </w:r>
      <w:r>
        <w:rPr>
          <w:rFonts w:ascii="仿宋" w:hAnsi="仿宋" w:eastAsia="仿宋" w:cs="仿宋"/>
          <w:sz w:val="24"/>
          <w:szCs w:val="32"/>
        </w:rPr>
        <w:t>应立即启动应急</w:t>
      </w:r>
      <w:r>
        <w:rPr>
          <w:rFonts w:hint="eastAsia" w:ascii="仿宋" w:hAnsi="仿宋" w:eastAsia="仿宋" w:cs="仿宋"/>
          <w:sz w:val="24"/>
          <w:szCs w:val="32"/>
        </w:rPr>
        <w:t>处理流程。</w:t>
      </w:r>
    </w:p>
    <w:p>
      <w:pPr>
        <w:pStyle w:val="36"/>
        <w:numPr>
          <w:ilvl w:val="0"/>
          <w:numId w:val="96"/>
        </w:numPr>
        <w:spacing w:line="360" w:lineRule="auto"/>
        <w:ind w:firstLineChars="0"/>
        <w:rPr>
          <w:rFonts w:ascii="仿宋" w:hAnsi="仿宋" w:eastAsia="仿宋" w:cs="仿宋"/>
          <w:sz w:val="24"/>
          <w:szCs w:val="32"/>
        </w:rPr>
      </w:pPr>
      <w:r>
        <w:rPr>
          <w:rFonts w:ascii="仿宋" w:hAnsi="仿宋" w:eastAsia="仿宋" w:cs="仿宋"/>
          <w:sz w:val="24"/>
          <w:szCs w:val="32"/>
        </w:rPr>
        <w:t>数据安全事件主要通过内部发现或者外部公开通报两种获取方式</w:t>
      </w:r>
      <w:r>
        <w:rPr>
          <w:rFonts w:hint="eastAsia" w:ascii="仿宋" w:hAnsi="仿宋" w:eastAsia="仿宋" w:cs="仿宋"/>
          <w:sz w:val="24"/>
          <w:szCs w:val="32"/>
        </w:rPr>
        <w:t>。</w:t>
      </w:r>
    </w:p>
    <w:p>
      <w:pPr>
        <w:pStyle w:val="36"/>
        <w:numPr>
          <w:ilvl w:val="0"/>
          <w:numId w:val="96"/>
        </w:numPr>
        <w:spacing w:line="360" w:lineRule="auto"/>
        <w:ind w:firstLineChars="0"/>
        <w:rPr>
          <w:rFonts w:ascii="仿宋" w:hAnsi="仿宋" w:eastAsia="仿宋" w:cs="仿宋"/>
          <w:sz w:val="24"/>
          <w:szCs w:val="32"/>
        </w:rPr>
      </w:pPr>
      <w:r>
        <w:rPr>
          <w:rFonts w:ascii="仿宋" w:hAnsi="仿宋" w:eastAsia="仿宋" w:cs="仿宋"/>
          <w:sz w:val="24"/>
          <w:szCs w:val="32"/>
        </w:rPr>
        <w:t>同时</w:t>
      </w:r>
      <w:r>
        <w:rPr>
          <w:rFonts w:hint="eastAsia" w:ascii="仿宋" w:hAnsi="仿宋" w:eastAsia="仿宋" w:cs="仿宋"/>
          <w:sz w:val="24"/>
          <w:szCs w:val="32"/>
        </w:rPr>
        <w:t>，数据安全管理员应通过邮件或其他公司内部通讯工具等，及时并同时进行逐级上报，并且根据数据安全事件的等级，逐级上报相关人员，具体如下：</w:t>
      </w:r>
    </w:p>
    <w:p>
      <w:pPr>
        <w:pStyle w:val="36"/>
        <w:numPr>
          <w:ilvl w:val="0"/>
          <w:numId w:val="97"/>
        </w:numPr>
        <w:spacing w:line="360" w:lineRule="auto"/>
        <w:ind w:firstLineChars="0"/>
        <w:rPr>
          <w:rFonts w:ascii="仿宋" w:hAnsi="仿宋" w:eastAsia="仿宋" w:cs="仿宋"/>
          <w:sz w:val="24"/>
          <w:szCs w:val="32"/>
        </w:rPr>
      </w:pPr>
      <w:r>
        <w:rPr>
          <w:rFonts w:ascii="仿宋" w:hAnsi="仿宋" w:eastAsia="仿宋" w:cs="仿宋"/>
          <w:sz w:val="24"/>
          <w:szCs w:val="32"/>
        </w:rPr>
        <w:t>一般事件</w:t>
      </w:r>
      <w:r>
        <w:rPr>
          <w:rFonts w:hint="eastAsia" w:ascii="仿宋" w:hAnsi="仿宋" w:eastAsia="仿宋" w:cs="仿宋"/>
          <w:sz w:val="24"/>
          <w:szCs w:val="32"/>
        </w:rPr>
        <w:t>：上报数据管理员所属部门领导、信息安全部数据安全管理小组成员，部门内部直接解决完成，同时，做好相关事件记录和事件处理报告。</w:t>
      </w:r>
    </w:p>
    <w:p>
      <w:pPr>
        <w:pStyle w:val="36"/>
        <w:numPr>
          <w:ilvl w:val="0"/>
          <w:numId w:val="97"/>
        </w:numPr>
        <w:spacing w:line="360" w:lineRule="auto"/>
        <w:ind w:firstLineChars="0"/>
        <w:rPr>
          <w:rFonts w:ascii="仿宋" w:hAnsi="仿宋" w:eastAsia="仿宋" w:cs="仿宋"/>
          <w:sz w:val="24"/>
          <w:szCs w:val="32"/>
        </w:rPr>
      </w:pPr>
      <w:r>
        <w:rPr>
          <w:rFonts w:ascii="仿宋" w:hAnsi="仿宋" w:eastAsia="仿宋" w:cs="仿宋"/>
          <w:sz w:val="24"/>
          <w:szCs w:val="32"/>
        </w:rPr>
        <w:t>较大事件</w:t>
      </w:r>
      <w:r>
        <w:rPr>
          <w:rFonts w:hint="eastAsia" w:ascii="仿宋" w:hAnsi="仿宋" w:eastAsia="仿宋" w:cs="仿宋"/>
          <w:sz w:val="24"/>
          <w:szCs w:val="32"/>
        </w:rPr>
        <w:t>：数据管理员所属部门领导、信息安全部数据安全管理小组成员、各一级部门数据接口人，公司内部完全有能力解决，事件属于可控范围。并且做好相关事件记录和事件处理报告。另外，还应将事件相关情况以用户可接受到的方式（如短信、电话、邮件、推送通知、“弹窗”提示等）方式告知受影响的用户，</w:t>
      </w:r>
      <w:r>
        <w:rPr>
          <w:rFonts w:ascii="仿宋" w:hAnsi="仿宋" w:eastAsia="仿宋" w:cs="仿宋"/>
          <w:sz w:val="24"/>
          <w:szCs w:val="32"/>
        </w:rPr>
        <w:t xml:space="preserve"> </w:t>
      </w:r>
    </w:p>
    <w:p>
      <w:pPr>
        <w:pStyle w:val="36"/>
        <w:numPr>
          <w:ilvl w:val="0"/>
          <w:numId w:val="97"/>
        </w:numPr>
        <w:spacing w:line="360" w:lineRule="auto"/>
        <w:ind w:firstLineChars="0"/>
        <w:rPr>
          <w:rFonts w:ascii="仿宋" w:hAnsi="仿宋" w:eastAsia="仿宋" w:cs="仿宋"/>
          <w:sz w:val="24"/>
          <w:szCs w:val="32"/>
        </w:rPr>
      </w:pPr>
      <w:r>
        <w:rPr>
          <w:rFonts w:ascii="仿宋" w:hAnsi="仿宋" w:eastAsia="仿宋" w:cs="仿宋"/>
          <w:sz w:val="24"/>
          <w:szCs w:val="32"/>
        </w:rPr>
        <w:t>重大事件</w:t>
      </w:r>
      <w:r>
        <w:rPr>
          <w:rFonts w:hint="eastAsia" w:ascii="仿宋" w:hAnsi="仿宋" w:eastAsia="仿宋" w:cs="仿宋"/>
          <w:sz w:val="24"/>
          <w:szCs w:val="32"/>
        </w:rPr>
        <w:t>：上报数据管理员所属部门领导、信息安全部数据安全管理小组成员、各一级部门数据接口人及各一级部门负责人，抄送C</w:t>
      </w:r>
      <w:r>
        <w:rPr>
          <w:rFonts w:ascii="仿宋" w:hAnsi="仿宋" w:eastAsia="仿宋" w:cs="仿宋"/>
          <w:sz w:val="24"/>
          <w:szCs w:val="32"/>
        </w:rPr>
        <w:t>TO</w:t>
      </w:r>
      <w:r>
        <w:rPr>
          <w:rFonts w:hint="eastAsia" w:ascii="仿宋" w:hAnsi="仿宋" w:eastAsia="仿宋" w:cs="仿宋"/>
          <w:sz w:val="24"/>
          <w:szCs w:val="32"/>
        </w:rPr>
        <w:t>，交由</w:t>
      </w:r>
      <w:r>
        <w:rPr>
          <w:rFonts w:ascii="仿宋" w:hAnsi="仿宋" w:eastAsia="仿宋" w:cs="仿宋"/>
          <w:sz w:val="24"/>
          <w:szCs w:val="32"/>
        </w:rPr>
        <w:t>公司内部相关部门直接处理</w:t>
      </w:r>
      <w:r>
        <w:rPr>
          <w:rFonts w:hint="eastAsia" w:ascii="仿宋" w:hAnsi="仿宋" w:eastAsia="仿宋" w:cs="仿宋"/>
          <w:sz w:val="24"/>
          <w:szCs w:val="32"/>
        </w:rPr>
        <w:t>。并且由于事件影响范围重大，须在事件处理完成后，由公司统一以公开、合规、正当的发布方式向受影响的用户通报事件相关处理情况。</w:t>
      </w:r>
    </w:p>
    <w:p>
      <w:pPr>
        <w:pStyle w:val="36"/>
        <w:numPr>
          <w:ilvl w:val="0"/>
          <w:numId w:val="97"/>
        </w:numPr>
        <w:spacing w:line="360" w:lineRule="auto"/>
        <w:ind w:firstLineChars="0"/>
        <w:rPr>
          <w:rFonts w:ascii="仿宋" w:hAnsi="仿宋" w:eastAsia="仿宋" w:cs="仿宋"/>
          <w:sz w:val="24"/>
          <w:szCs w:val="32"/>
        </w:rPr>
      </w:pPr>
      <w:r>
        <w:rPr>
          <w:rFonts w:ascii="仿宋" w:hAnsi="仿宋" w:eastAsia="仿宋" w:cs="仿宋"/>
          <w:sz w:val="24"/>
          <w:szCs w:val="32"/>
        </w:rPr>
        <w:t>特别重大事件</w:t>
      </w:r>
      <w:r>
        <w:rPr>
          <w:rFonts w:hint="eastAsia" w:ascii="仿宋" w:hAnsi="仿宋" w:eastAsia="仿宋" w:cs="仿宋"/>
          <w:sz w:val="24"/>
          <w:szCs w:val="32"/>
        </w:rPr>
        <w:t>：上报至C</w:t>
      </w:r>
      <w:r>
        <w:rPr>
          <w:rFonts w:ascii="仿宋" w:hAnsi="仿宋" w:eastAsia="仿宋" w:cs="仿宋"/>
          <w:sz w:val="24"/>
          <w:szCs w:val="32"/>
        </w:rPr>
        <w:t>TO</w:t>
      </w:r>
      <w:r>
        <w:rPr>
          <w:rFonts w:hint="eastAsia" w:ascii="仿宋" w:hAnsi="仿宋" w:eastAsia="仿宋" w:cs="仿宋"/>
          <w:sz w:val="24"/>
          <w:szCs w:val="32"/>
        </w:rPr>
        <w:t>，由数据安全委员会及时召开会议，集中讨论、制定和决策数据安全应急处置方案，并且须在事件处理完成后，应由数据安全委员会及时将事件相关处理情况上报至相关执法机关或有关监管部门（如网安等），以及由公司统一以公开、合规、正当的发布方式向受影响的用户通报相关事件处理情况。</w:t>
      </w:r>
    </w:p>
    <w:p>
      <w:pPr>
        <w:pStyle w:val="36"/>
        <w:numPr>
          <w:ilvl w:val="0"/>
          <w:numId w:val="96"/>
        </w:numPr>
        <w:spacing w:line="360" w:lineRule="auto"/>
        <w:ind w:firstLineChars="0"/>
        <w:rPr>
          <w:rFonts w:ascii="仿宋" w:hAnsi="仿宋" w:eastAsia="仿宋" w:cs="仿宋"/>
          <w:sz w:val="24"/>
          <w:szCs w:val="32"/>
        </w:rPr>
      </w:pPr>
      <w:r>
        <w:rPr>
          <w:rFonts w:ascii="仿宋" w:hAnsi="仿宋" w:eastAsia="仿宋" w:cs="仿宋"/>
          <w:sz w:val="24"/>
          <w:szCs w:val="32"/>
        </w:rPr>
        <w:t>数据安全事件处置过程中</w:t>
      </w:r>
      <w:r>
        <w:rPr>
          <w:rFonts w:hint="eastAsia" w:ascii="仿宋" w:hAnsi="仿宋" w:eastAsia="仿宋" w:cs="仿宋"/>
          <w:sz w:val="24"/>
          <w:szCs w:val="32"/>
        </w:rPr>
        <w:t>，</w:t>
      </w:r>
      <w:r>
        <w:rPr>
          <w:rFonts w:ascii="仿宋" w:hAnsi="仿宋" w:eastAsia="仿宋" w:cs="仿宋"/>
          <w:sz w:val="24"/>
          <w:szCs w:val="32"/>
        </w:rPr>
        <w:t>应严格遵循公司数据安全管理相关要求</w:t>
      </w:r>
      <w:r>
        <w:rPr>
          <w:rFonts w:hint="eastAsia" w:ascii="仿宋" w:hAnsi="仿宋" w:eastAsia="仿宋" w:cs="仿宋"/>
          <w:sz w:val="24"/>
          <w:szCs w:val="32"/>
        </w:rPr>
        <w:t>，</w:t>
      </w:r>
      <w:r>
        <w:rPr>
          <w:rFonts w:ascii="仿宋" w:hAnsi="仿宋" w:eastAsia="仿宋" w:cs="仿宋"/>
          <w:sz w:val="24"/>
          <w:szCs w:val="32"/>
        </w:rPr>
        <w:t>处置方案应通过充分</w:t>
      </w:r>
      <w:r>
        <w:rPr>
          <w:rFonts w:hint="eastAsia" w:ascii="仿宋" w:hAnsi="仿宋" w:eastAsia="仿宋" w:cs="仿宋"/>
          <w:sz w:val="24"/>
          <w:szCs w:val="32"/>
        </w:rPr>
        <w:t>验证、测试以及评审，</w:t>
      </w:r>
      <w:r>
        <w:rPr>
          <w:rFonts w:ascii="仿宋" w:hAnsi="仿宋" w:eastAsia="仿宋" w:cs="仿宋"/>
          <w:sz w:val="24"/>
          <w:szCs w:val="32"/>
        </w:rPr>
        <w:t>防范风险泛化和蔓延</w:t>
      </w:r>
      <w:r>
        <w:rPr>
          <w:rFonts w:hint="eastAsia" w:ascii="仿宋" w:hAnsi="仿宋" w:eastAsia="仿宋" w:cs="仿宋"/>
          <w:sz w:val="24"/>
          <w:szCs w:val="32"/>
        </w:rPr>
        <w:t>。</w:t>
      </w:r>
    </w:p>
    <w:p>
      <w:pPr>
        <w:pStyle w:val="36"/>
        <w:numPr>
          <w:ilvl w:val="0"/>
          <w:numId w:val="96"/>
        </w:numPr>
        <w:spacing w:line="360" w:lineRule="auto"/>
        <w:ind w:firstLineChars="0"/>
        <w:rPr>
          <w:rFonts w:ascii="仿宋" w:hAnsi="仿宋" w:eastAsia="仿宋" w:cs="仿宋"/>
          <w:sz w:val="24"/>
          <w:szCs w:val="32"/>
        </w:rPr>
      </w:pPr>
      <w:r>
        <w:rPr>
          <w:rFonts w:ascii="仿宋" w:hAnsi="仿宋" w:eastAsia="仿宋" w:cs="仿宋"/>
          <w:sz w:val="24"/>
          <w:szCs w:val="32"/>
        </w:rPr>
        <w:t>数据管理员应对数据安全处置过程中的各阶段操作做好</w:t>
      </w:r>
      <w:r>
        <w:rPr>
          <w:rFonts w:hint="eastAsia" w:ascii="仿宋" w:hAnsi="仿宋" w:eastAsia="仿宋" w:cs="仿宋"/>
          <w:sz w:val="24"/>
          <w:szCs w:val="32"/>
        </w:rPr>
        <w:t>《数据安全事件记录》的详实记录，</w:t>
      </w:r>
      <w:r>
        <w:rPr>
          <w:rFonts w:ascii="仿宋" w:hAnsi="仿宋" w:eastAsia="仿宋" w:cs="仿宋"/>
          <w:sz w:val="24"/>
          <w:szCs w:val="32"/>
        </w:rPr>
        <w:t>并事后整理</w:t>
      </w:r>
      <w:r>
        <w:rPr>
          <w:rFonts w:hint="eastAsia" w:ascii="仿宋" w:hAnsi="仿宋" w:eastAsia="仿宋" w:cs="仿宋"/>
          <w:sz w:val="24"/>
          <w:szCs w:val="32"/>
        </w:rPr>
        <w:t>《</w:t>
      </w:r>
      <w:r>
        <w:rPr>
          <w:rFonts w:ascii="仿宋" w:hAnsi="仿宋" w:eastAsia="仿宋" w:cs="仿宋"/>
          <w:sz w:val="24"/>
          <w:szCs w:val="32"/>
        </w:rPr>
        <w:t>数据安全事件处理报告</w:t>
      </w:r>
      <w:r>
        <w:rPr>
          <w:rFonts w:hint="eastAsia" w:ascii="仿宋" w:hAnsi="仿宋" w:eastAsia="仿宋" w:cs="仿宋"/>
          <w:sz w:val="24"/>
          <w:szCs w:val="32"/>
        </w:rPr>
        <w:t>》，其中，事件记录内容应</w:t>
      </w:r>
      <w:r>
        <w:rPr>
          <w:rFonts w:ascii="仿宋" w:hAnsi="仿宋" w:eastAsia="仿宋" w:cs="仿宋"/>
          <w:sz w:val="24"/>
          <w:szCs w:val="32"/>
        </w:rPr>
        <w:t>包含事件主题</w:t>
      </w:r>
      <w:r>
        <w:rPr>
          <w:rFonts w:hint="eastAsia" w:ascii="仿宋" w:hAnsi="仿宋" w:eastAsia="仿宋" w:cs="仿宋"/>
          <w:sz w:val="24"/>
          <w:szCs w:val="32"/>
        </w:rPr>
        <w:t>、发生</w:t>
      </w:r>
      <w:r>
        <w:rPr>
          <w:rFonts w:ascii="仿宋" w:hAnsi="仿宋" w:eastAsia="仿宋" w:cs="仿宋"/>
          <w:sz w:val="24"/>
          <w:szCs w:val="32"/>
        </w:rPr>
        <w:t>原因</w:t>
      </w:r>
      <w:r>
        <w:rPr>
          <w:rFonts w:hint="eastAsia" w:ascii="仿宋" w:hAnsi="仿宋" w:eastAsia="仿宋" w:cs="仿宋"/>
          <w:sz w:val="24"/>
          <w:szCs w:val="32"/>
        </w:rPr>
        <w:t>、时间、地点、涉及的数据信息与数量（包含但不限于个人信息等）、影响性、</w:t>
      </w:r>
      <w:r>
        <w:rPr>
          <w:rFonts w:ascii="仿宋" w:hAnsi="仿宋" w:eastAsia="仿宋" w:cs="仿宋"/>
          <w:sz w:val="24"/>
          <w:szCs w:val="32"/>
        </w:rPr>
        <w:t>处理方法与步骤</w:t>
      </w:r>
      <w:r>
        <w:rPr>
          <w:rFonts w:hint="eastAsia" w:ascii="仿宋" w:hAnsi="仿宋" w:eastAsia="仿宋" w:cs="仿宋"/>
          <w:sz w:val="24"/>
          <w:szCs w:val="32"/>
        </w:rPr>
        <w:t>、相关参与人员以及处理结果、是否已联系相关执法机关或有关部门等。</w:t>
      </w:r>
    </w:p>
    <w:p>
      <w:pPr>
        <w:pStyle w:val="36"/>
        <w:numPr>
          <w:ilvl w:val="0"/>
          <w:numId w:val="96"/>
        </w:numPr>
        <w:spacing w:line="360" w:lineRule="auto"/>
        <w:ind w:firstLineChars="0"/>
        <w:rPr>
          <w:rFonts w:ascii="仿宋" w:hAnsi="仿宋" w:eastAsia="仿宋" w:cs="仿宋"/>
          <w:sz w:val="24"/>
          <w:szCs w:val="32"/>
        </w:rPr>
      </w:pPr>
      <w:r>
        <w:rPr>
          <w:rFonts w:ascii="仿宋" w:hAnsi="仿宋" w:eastAsia="仿宋" w:cs="仿宋"/>
          <w:sz w:val="24"/>
          <w:szCs w:val="32"/>
        </w:rPr>
        <w:t>数据安全管理小组应持续监督数据安全事件处置进度</w:t>
      </w:r>
      <w:r>
        <w:rPr>
          <w:rFonts w:hint="eastAsia" w:ascii="仿宋" w:hAnsi="仿宋" w:eastAsia="仿宋" w:cs="仿宋"/>
          <w:sz w:val="24"/>
          <w:szCs w:val="32"/>
        </w:rPr>
        <w:t>，</w:t>
      </w:r>
      <w:r>
        <w:rPr>
          <w:rFonts w:ascii="仿宋" w:hAnsi="仿宋" w:eastAsia="仿宋" w:cs="仿宋"/>
          <w:sz w:val="24"/>
          <w:szCs w:val="32"/>
        </w:rPr>
        <w:t>及时发现可能存在的问题</w:t>
      </w:r>
      <w:r>
        <w:rPr>
          <w:rFonts w:hint="eastAsia" w:ascii="仿宋" w:hAnsi="仿宋" w:eastAsia="仿宋" w:cs="仿宋"/>
          <w:sz w:val="24"/>
          <w:szCs w:val="32"/>
        </w:rPr>
        <w:t>，</w:t>
      </w:r>
      <w:r>
        <w:rPr>
          <w:rFonts w:ascii="仿宋" w:hAnsi="仿宋" w:eastAsia="仿宋" w:cs="仿宋"/>
          <w:sz w:val="24"/>
          <w:szCs w:val="32"/>
        </w:rPr>
        <w:t>并协调资源跟进处理</w:t>
      </w:r>
      <w:r>
        <w:rPr>
          <w:rFonts w:hint="eastAsia" w:ascii="仿宋" w:hAnsi="仿宋" w:eastAsia="仿宋" w:cs="仿宋"/>
          <w:sz w:val="24"/>
          <w:szCs w:val="32"/>
        </w:rPr>
        <w:t>。</w:t>
      </w:r>
    </w:p>
    <w:p>
      <w:pPr>
        <w:pStyle w:val="36"/>
        <w:numPr>
          <w:ilvl w:val="0"/>
          <w:numId w:val="96"/>
        </w:numPr>
        <w:spacing w:line="360" w:lineRule="auto"/>
        <w:ind w:firstLineChars="0"/>
        <w:rPr>
          <w:rFonts w:ascii="仿宋" w:hAnsi="仿宋" w:eastAsia="仿宋" w:cs="仿宋"/>
          <w:sz w:val="24"/>
          <w:szCs w:val="32"/>
        </w:rPr>
      </w:pPr>
      <w:r>
        <w:rPr>
          <w:rFonts w:ascii="仿宋" w:hAnsi="仿宋" w:eastAsia="仿宋" w:cs="仿宋"/>
          <w:sz w:val="24"/>
          <w:szCs w:val="32"/>
        </w:rPr>
        <w:t>数据安全管理小组应根据需要及时向外部有关机关或相关监管机构</w:t>
      </w:r>
      <w:r>
        <w:rPr>
          <w:rFonts w:hint="eastAsia" w:ascii="仿宋" w:hAnsi="仿宋" w:eastAsia="仿宋" w:cs="仿宋"/>
          <w:sz w:val="24"/>
          <w:szCs w:val="32"/>
        </w:rPr>
        <w:t>、</w:t>
      </w:r>
      <w:r>
        <w:rPr>
          <w:rFonts w:ascii="仿宋" w:hAnsi="仿宋" w:eastAsia="仿宋" w:cs="仿宋"/>
          <w:sz w:val="24"/>
          <w:szCs w:val="32"/>
        </w:rPr>
        <w:t>数据所有者做好汇报</w:t>
      </w:r>
      <w:r>
        <w:rPr>
          <w:rFonts w:hint="eastAsia" w:ascii="仿宋" w:hAnsi="仿宋" w:eastAsia="仿宋" w:cs="仿宋"/>
          <w:sz w:val="24"/>
          <w:szCs w:val="32"/>
        </w:rPr>
        <w:t>。</w:t>
      </w:r>
    </w:p>
    <w:p>
      <w:pPr>
        <w:pStyle w:val="36"/>
        <w:numPr>
          <w:ilvl w:val="0"/>
          <w:numId w:val="96"/>
        </w:numPr>
        <w:spacing w:line="360" w:lineRule="auto"/>
        <w:ind w:firstLineChars="0"/>
        <w:rPr>
          <w:rFonts w:ascii="仿宋" w:hAnsi="仿宋" w:eastAsia="仿宋" w:cs="仿宋"/>
          <w:sz w:val="24"/>
          <w:szCs w:val="32"/>
        </w:rPr>
      </w:pPr>
      <w:r>
        <w:rPr>
          <w:rFonts w:hint="eastAsia" w:ascii="仿宋" w:hAnsi="仿宋" w:eastAsia="仿宋" w:cs="仿宋"/>
          <w:sz w:val="24"/>
          <w:szCs w:val="32"/>
        </w:rPr>
        <w:t>针对</w:t>
      </w:r>
      <w:r>
        <w:rPr>
          <w:rFonts w:ascii="仿宋" w:hAnsi="仿宋" w:eastAsia="仿宋" w:cs="仿宋"/>
          <w:sz w:val="24"/>
          <w:szCs w:val="32"/>
        </w:rPr>
        <w:t>个人信息安全事件</w:t>
      </w:r>
      <w:r>
        <w:rPr>
          <w:rFonts w:hint="eastAsia" w:ascii="仿宋" w:hAnsi="仿宋" w:eastAsia="仿宋" w:cs="仿宋"/>
          <w:sz w:val="24"/>
          <w:szCs w:val="32"/>
        </w:rPr>
        <w:t>，</w:t>
      </w:r>
      <w:r>
        <w:rPr>
          <w:rFonts w:ascii="仿宋" w:hAnsi="仿宋" w:eastAsia="仿宋" w:cs="仿宋"/>
          <w:sz w:val="24"/>
          <w:szCs w:val="32"/>
        </w:rPr>
        <w:t>数据安全管理人员应及时将事件相关情况</w:t>
      </w:r>
      <w:r>
        <w:rPr>
          <w:rFonts w:hint="eastAsia" w:ascii="仿宋" w:hAnsi="仿宋" w:eastAsia="仿宋" w:cs="仿宋"/>
          <w:sz w:val="24"/>
          <w:szCs w:val="32"/>
        </w:rPr>
        <w:t>（如给用户的合法权益带来的危害等）</w:t>
      </w:r>
      <w:r>
        <w:rPr>
          <w:rFonts w:ascii="仿宋" w:hAnsi="仿宋" w:eastAsia="仿宋" w:cs="仿宋"/>
          <w:sz w:val="24"/>
          <w:szCs w:val="32"/>
        </w:rPr>
        <w:t>以邮件</w:t>
      </w:r>
      <w:r>
        <w:rPr>
          <w:rFonts w:hint="eastAsia" w:ascii="仿宋" w:hAnsi="仿宋" w:eastAsia="仿宋" w:cs="仿宋"/>
          <w:sz w:val="24"/>
          <w:szCs w:val="32"/>
        </w:rPr>
        <w:t>、信函、电话、网站、推送通知、“弹窗”提示等用户可接收到的方式，告知受影响的用户，并对其进行安抚和沟通。难以逐一告知受影响的用户时，应采取有效、合理的方式发布与公众有关的警示信息。</w:t>
      </w:r>
      <w:r>
        <w:rPr>
          <w:rFonts w:ascii="仿宋" w:hAnsi="仿宋" w:eastAsia="仿宋" w:cs="仿宋"/>
          <w:sz w:val="24"/>
          <w:szCs w:val="32"/>
        </w:rPr>
        <w:t>其告知内容包括但不限于以下内容</w:t>
      </w:r>
      <w:r>
        <w:rPr>
          <w:rFonts w:hint="eastAsia" w:ascii="仿宋" w:hAnsi="仿宋" w:eastAsia="仿宋" w:cs="仿宋"/>
          <w:sz w:val="24"/>
          <w:szCs w:val="32"/>
        </w:rPr>
        <w:t>：</w:t>
      </w:r>
    </w:p>
    <w:p>
      <w:pPr>
        <w:pStyle w:val="36"/>
        <w:numPr>
          <w:ilvl w:val="0"/>
          <w:numId w:val="98"/>
        </w:numPr>
        <w:spacing w:line="360" w:lineRule="auto"/>
        <w:ind w:left="1701" w:hanging="425" w:firstLineChars="0"/>
        <w:rPr>
          <w:rFonts w:ascii="仿宋" w:hAnsi="仿宋" w:eastAsia="仿宋" w:cs="仿宋"/>
          <w:color w:val="000000"/>
          <w:kern w:val="0"/>
          <w:sz w:val="24"/>
          <w:lang w:bidi="ar"/>
        </w:rPr>
      </w:pPr>
      <w:r>
        <w:rPr>
          <w:rFonts w:ascii="仿宋" w:hAnsi="仿宋" w:eastAsia="仿宋" w:cs="仿宋"/>
          <w:color w:val="000000"/>
          <w:kern w:val="0"/>
          <w:sz w:val="24"/>
          <w:lang w:bidi="ar"/>
        </w:rPr>
        <w:t>安全事件的内容和影响</w:t>
      </w:r>
      <w:r>
        <w:rPr>
          <w:rFonts w:hint="eastAsia" w:ascii="仿宋" w:hAnsi="仿宋" w:eastAsia="仿宋" w:cs="仿宋"/>
          <w:color w:val="000000"/>
          <w:kern w:val="0"/>
          <w:sz w:val="24"/>
          <w:lang w:bidi="ar"/>
        </w:rPr>
        <w:t>。</w:t>
      </w:r>
    </w:p>
    <w:p>
      <w:pPr>
        <w:pStyle w:val="36"/>
        <w:numPr>
          <w:ilvl w:val="0"/>
          <w:numId w:val="98"/>
        </w:numPr>
        <w:spacing w:line="360" w:lineRule="auto"/>
        <w:ind w:left="1701" w:hanging="425" w:firstLineChars="0"/>
        <w:rPr>
          <w:rFonts w:ascii="仿宋" w:hAnsi="仿宋" w:eastAsia="仿宋" w:cs="仿宋"/>
          <w:color w:val="000000"/>
          <w:kern w:val="0"/>
          <w:sz w:val="24"/>
          <w:lang w:bidi="ar"/>
        </w:rPr>
      </w:pPr>
      <w:r>
        <w:rPr>
          <w:rFonts w:ascii="仿宋" w:hAnsi="仿宋" w:eastAsia="仿宋" w:cs="仿宋"/>
          <w:color w:val="000000"/>
          <w:kern w:val="0"/>
          <w:sz w:val="24"/>
          <w:lang w:bidi="ar"/>
        </w:rPr>
        <w:t>已采取或将要采取的处置措施</w:t>
      </w:r>
      <w:r>
        <w:rPr>
          <w:rFonts w:hint="eastAsia" w:ascii="仿宋" w:hAnsi="仿宋" w:eastAsia="仿宋" w:cs="仿宋"/>
          <w:color w:val="000000"/>
          <w:kern w:val="0"/>
          <w:sz w:val="24"/>
          <w:lang w:bidi="ar"/>
        </w:rPr>
        <w:t>。</w:t>
      </w:r>
    </w:p>
    <w:p>
      <w:pPr>
        <w:pStyle w:val="36"/>
        <w:numPr>
          <w:ilvl w:val="0"/>
          <w:numId w:val="98"/>
        </w:numPr>
        <w:spacing w:line="360" w:lineRule="auto"/>
        <w:ind w:left="1701" w:hanging="425" w:firstLineChars="0"/>
        <w:rPr>
          <w:rFonts w:ascii="仿宋" w:hAnsi="仿宋" w:eastAsia="仿宋" w:cs="仿宋"/>
          <w:color w:val="000000"/>
          <w:kern w:val="0"/>
          <w:sz w:val="24"/>
          <w:lang w:bidi="ar"/>
        </w:rPr>
      </w:pPr>
      <w:r>
        <w:rPr>
          <w:rFonts w:hint="eastAsia" w:ascii="仿宋" w:hAnsi="仿宋" w:eastAsia="仿宋" w:cs="仿宋"/>
          <w:color w:val="000000"/>
          <w:kern w:val="0"/>
          <w:sz w:val="24"/>
          <w:lang w:bidi="ar"/>
        </w:rPr>
        <w:t>针对用户自主防范和降低风险的建议。</w:t>
      </w:r>
    </w:p>
    <w:p>
      <w:pPr>
        <w:pStyle w:val="36"/>
        <w:numPr>
          <w:ilvl w:val="0"/>
          <w:numId w:val="98"/>
        </w:numPr>
        <w:spacing w:line="360" w:lineRule="auto"/>
        <w:ind w:left="1701" w:hanging="425" w:firstLineChars="0"/>
        <w:rPr>
          <w:rFonts w:ascii="仿宋" w:hAnsi="仿宋" w:eastAsia="仿宋" w:cs="仿宋"/>
          <w:color w:val="000000"/>
          <w:kern w:val="0"/>
          <w:sz w:val="24"/>
          <w:lang w:bidi="ar"/>
        </w:rPr>
      </w:pPr>
      <w:r>
        <w:rPr>
          <w:rFonts w:ascii="仿宋" w:hAnsi="仿宋" w:eastAsia="仿宋" w:cs="仿宋"/>
          <w:color w:val="000000"/>
          <w:kern w:val="0"/>
          <w:sz w:val="24"/>
          <w:lang w:bidi="ar"/>
        </w:rPr>
        <w:t>针对</w:t>
      </w:r>
      <w:r>
        <w:rPr>
          <w:rFonts w:hint="eastAsia" w:ascii="仿宋" w:hAnsi="仿宋" w:eastAsia="仿宋" w:cs="仿宋"/>
          <w:color w:val="000000"/>
          <w:kern w:val="0"/>
          <w:sz w:val="24"/>
          <w:lang w:bidi="ar"/>
        </w:rPr>
        <w:t>用户提供的补救措施。</w:t>
      </w:r>
    </w:p>
    <w:p>
      <w:pPr>
        <w:pStyle w:val="36"/>
        <w:numPr>
          <w:ilvl w:val="0"/>
          <w:numId w:val="98"/>
        </w:numPr>
        <w:spacing w:line="360" w:lineRule="auto"/>
        <w:ind w:left="1701" w:hanging="425" w:firstLineChars="0"/>
        <w:rPr>
          <w:rFonts w:ascii="仿宋" w:hAnsi="仿宋" w:eastAsia="仿宋" w:cs="仿宋"/>
          <w:color w:val="000000"/>
          <w:kern w:val="0"/>
          <w:sz w:val="24"/>
          <w:lang w:bidi="ar"/>
        </w:rPr>
      </w:pPr>
      <w:r>
        <w:rPr>
          <w:rFonts w:ascii="仿宋" w:hAnsi="仿宋" w:eastAsia="仿宋" w:cs="仿宋"/>
          <w:color w:val="000000"/>
          <w:kern w:val="0"/>
          <w:sz w:val="24"/>
          <w:lang w:bidi="ar"/>
        </w:rPr>
        <w:t>公司个人信息保护负责人和</w:t>
      </w:r>
      <w:r>
        <w:rPr>
          <w:rFonts w:hint="eastAsia" w:ascii="仿宋" w:hAnsi="仿宋" w:eastAsia="仿宋" w:cs="仿宋"/>
          <w:color w:val="000000"/>
          <w:kern w:val="0"/>
          <w:sz w:val="24"/>
          <w:lang w:bidi="ar"/>
        </w:rPr>
        <w:t>公司</w:t>
      </w:r>
      <w:r>
        <w:rPr>
          <w:rFonts w:ascii="仿宋" w:hAnsi="仿宋" w:eastAsia="仿宋" w:cs="仿宋"/>
          <w:color w:val="000000"/>
          <w:kern w:val="0"/>
          <w:sz w:val="24"/>
          <w:lang w:bidi="ar"/>
        </w:rPr>
        <w:t>数据安全小组的联系方式</w:t>
      </w:r>
      <w:r>
        <w:rPr>
          <w:rFonts w:hint="eastAsia" w:ascii="仿宋" w:hAnsi="仿宋" w:eastAsia="仿宋" w:cs="仿宋"/>
          <w:color w:val="000000"/>
          <w:kern w:val="0"/>
          <w:sz w:val="24"/>
          <w:lang w:bidi="ar"/>
        </w:rPr>
        <w:t>（如邮箱）。</w:t>
      </w:r>
    </w:p>
    <w:p>
      <w:pPr>
        <w:pStyle w:val="36"/>
        <w:numPr>
          <w:ilvl w:val="0"/>
          <w:numId w:val="96"/>
        </w:numPr>
        <w:spacing w:line="360" w:lineRule="auto"/>
        <w:ind w:firstLineChars="0"/>
        <w:rPr>
          <w:rFonts w:ascii="仿宋" w:hAnsi="仿宋" w:eastAsia="仿宋" w:cs="仿宋"/>
          <w:sz w:val="24"/>
          <w:szCs w:val="32"/>
        </w:rPr>
      </w:pPr>
      <w:r>
        <w:rPr>
          <w:rFonts w:ascii="仿宋" w:hAnsi="仿宋" w:eastAsia="仿宋" w:cs="仿宋"/>
          <w:sz w:val="24"/>
          <w:szCs w:val="32"/>
        </w:rPr>
        <w:t>数据安全事件处置情况的对外披露原则</w:t>
      </w:r>
      <w:r>
        <w:rPr>
          <w:rFonts w:hint="eastAsia" w:ascii="仿宋" w:hAnsi="仿宋" w:eastAsia="仿宋" w:cs="仿宋"/>
          <w:sz w:val="24"/>
          <w:szCs w:val="32"/>
        </w:rPr>
        <w:t>（如对数据主体，或外部监管机构等）应遵循本制度相关要求。</w:t>
      </w:r>
    </w:p>
    <w:p>
      <w:pPr>
        <w:pStyle w:val="28"/>
        <w:ind w:left="0"/>
        <w:rPr>
          <w:rFonts w:ascii="仿宋" w:hAnsi="仿宋" w:cs="仿宋"/>
          <w:sz w:val="24"/>
        </w:rPr>
      </w:pPr>
      <w:r>
        <w:rPr>
          <w:rFonts w:ascii="仿宋" w:hAnsi="仿宋" w:cs="仿宋"/>
          <w:sz w:val="24"/>
        </w:rPr>
        <w:t>数据安全事态监测</w:t>
      </w:r>
    </w:p>
    <w:p>
      <w:pPr>
        <w:pStyle w:val="36"/>
        <w:numPr>
          <w:ilvl w:val="0"/>
          <w:numId w:val="99"/>
        </w:numPr>
        <w:spacing w:line="360" w:lineRule="auto"/>
        <w:ind w:firstLineChars="0"/>
        <w:rPr>
          <w:rFonts w:ascii="仿宋" w:hAnsi="仿宋" w:eastAsia="仿宋" w:cs="仿宋"/>
          <w:sz w:val="24"/>
          <w:szCs w:val="32"/>
        </w:rPr>
      </w:pPr>
      <w:r>
        <w:rPr>
          <w:rFonts w:ascii="仿宋" w:hAnsi="仿宋" w:eastAsia="仿宋" w:cs="仿宋"/>
          <w:sz w:val="24"/>
          <w:szCs w:val="32"/>
        </w:rPr>
        <w:t>公司应通过培训</w:t>
      </w:r>
      <w:r>
        <w:rPr>
          <w:rFonts w:hint="eastAsia" w:ascii="仿宋" w:hAnsi="仿宋" w:eastAsia="仿宋" w:cs="仿宋"/>
          <w:sz w:val="24"/>
          <w:szCs w:val="32"/>
        </w:rPr>
        <w:t>、</w:t>
      </w:r>
      <w:r>
        <w:rPr>
          <w:rFonts w:ascii="仿宋" w:hAnsi="仿宋" w:eastAsia="仿宋" w:cs="仿宋"/>
          <w:sz w:val="24"/>
          <w:szCs w:val="32"/>
        </w:rPr>
        <w:t>宣贯</w:t>
      </w:r>
      <w:r>
        <w:rPr>
          <w:rFonts w:hint="eastAsia" w:ascii="仿宋" w:hAnsi="仿宋" w:eastAsia="仿宋" w:cs="仿宋"/>
          <w:sz w:val="24"/>
          <w:szCs w:val="32"/>
        </w:rPr>
        <w:t>、</w:t>
      </w:r>
      <w:r>
        <w:rPr>
          <w:rFonts w:ascii="仿宋" w:hAnsi="仿宋" w:eastAsia="仿宋" w:cs="仿宋"/>
          <w:sz w:val="24"/>
          <w:szCs w:val="32"/>
        </w:rPr>
        <w:t>引导</w:t>
      </w:r>
      <w:r>
        <w:rPr>
          <w:rFonts w:hint="eastAsia" w:ascii="仿宋" w:hAnsi="仿宋" w:eastAsia="仿宋" w:cs="仿宋"/>
          <w:sz w:val="24"/>
          <w:szCs w:val="32"/>
        </w:rPr>
        <w:t>、</w:t>
      </w:r>
      <w:r>
        <w:rPr>
          <w:rFonts w:ascii="仿宋" w:hAnsi="仿宋" w:eastAsia="仿宋" w:cs="仿宋"/>
          <w:sz w:val="24"/>
          <w:szCs w:val="32"/>
        </w:rPr>
        <w:t>奖励等多种方式</w:t>
      </w:r>
      <w:r>
        <w:rPr>
          <w:rFonts w:hint="eastAsia" w:ascii="仿宋" w:hAnsi="仿宋" w:eastAsia="仿宋" w:cs="仿宋"/>
          <w:sz w:val="24"/>
          <w:szCs w:val="32"/>
        </w:rPr>
        <w:t>，合理、合规、有效地收集公司数据安全事件。</w:t>
      </w:r>
    </w:p>
    <w:p>
      <w:pPr>
        <w:pStyle w:val="36"/>
        <w:numPr>
          <w:ilvl w:val="0"/>
          <w:numId w:val="99"/>
        </w:numPr>
        <w:spacing w:line="360" w:lineRule="auto"/>
        <w:ind w:firstLineChars="0"/>
        <w:rPr>
          <w:rFonts w:ascii="仿宋" w:hAnsi="仿宋" w:eastAsia="仿宋" w:cs="仿宋"/>
          <w:sz w:val="24"/>
          <w:szCs w:val="32"/>
        </w:rPr>
      </w:pPr>
      <w:r>
        <w:rPr>
          <w:rFonts w:ascii="仿宋" w:hAnsi="仿宋" w:eastAsia="仿宋" w:cs="仿宋"/>
          <w:sz w:val="24"/>
          <w:szCs w:val="32"/>
        </w:rPr>
        <w:t>数据安全事件应遵循</w:t>
      </w:r>
      <w:r>
        <w:rPr>
          <w:rFonts w:hint="eastAsia" w:ascii="仿宋" w:hAnsi="仿宋" w:eastAsia="仿宋" w:cs="仿宋"/>
          <w:sz w:val="24"/>
          <w:szCs w:val="32"/>
        </w:rPr>
        <w:t>“谁主管、谁负责，谁使用、谁负责”的原则，对各类数据安全事件和可能引发数据安全事件的有关信息进行收集、评估和持续监测，建立相应数据安全监测预警机制，通过远程监测等方式，收集、识别公司数据安全事件。</w:t>
      </w:r>
    </w:p>
    <w:p>
      <w:pPr>
        <w:pStyle w:val="36"/>
        <w:numPr>
          <w:ilvl w:val="0"/>
          <w:numId w:val="100"/>
        </w:numPr>
        <w:spacing w:line="360" w:lineRule="auto"/>
        <w:ind w:left="1417" w:leftChars="540" w:hanging="283" w:hangingChars="118"/>
        <w:rPr>
          <w:rFonts w:ascii="仿宋" w:hAnsi="仿宋" w:eastAsia="仿宋" w:cs="仿宋"/>
          <w:color w:val="000000"/>
          <w:kern w:val="0"/>
          <w:sz w:val="24"/>
          <w:lang w:bidi="ar"/>
        </w:rPr>
      </w:pPr>
      <w:r>
        <w:rPr>
          <w:rFonts w:ascii="仿宋" w:hAnsi="仿宋" w:eastAsia="仿宋" w:cs="仿宋"/>
          <w:color w:val="000000"/>
          <w:kern w:val="0"/>
          <w:sz w:val="24"/>
          <w:lang w:bidi="ar"/>
        </w:rPr>
        <w:t>公司应建立舆情监测和威胁情报机制</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并设立专职团队</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通过爬虫抓取</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流量监测</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舆情监控</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外部合作等多种方式</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合理</w:t>
      </w:r>
      <w:r>
        <w:rPr>
          <w:rFonts w:hint="eastAsia" w:ascii="仿宋" w:hAnsi="仿宋" w:eastAsia="仿宋" w:cs="仿宋"/>
          <w:color w:val="000000"/>
          <w:kern w:val="0"/>
          <w:sz w:val="24"/>
          <w:lang w:bidi="ar"/>
        </w:rPr>
        <w:t>、合规、</w:t>
      </w:r>
      <w:r>
        <w:rPr>
          <w:rFonts w:ascii="仿宋" w:hAnsi="仿宋" w:eastAsia="仿宋" w:cs="仿宋"/>
          <w:color w:val="000000"/>
          <w:kern w:val="0"/>
          <w:sz w:val="24"/>
          <w:lang w:bidi="ar"/>
        </w:rPr>
        <w:t>有效地收集公司数据安全</w:t>
      </w:r>
      <w:r>
        <w:rPr>
          <w:rFonts w:hint="eastAsia" w:ascii="仿宋" w:hAnsi="仿宋" w:eastAsia="仿宋" w:cs="仿宋"/>
          <w:color w:val="000000"/>
          <w:kern w:val="0"/>
          <w:sz w:val="24"/>
          <w:lang w:bidi="ar"/>
        </w:rPr>
        <w:t>事件。</w:t>
      </w:r>
    </w:p>
    <w:p>
      <w:pPr>
        <w:pStyle w:val="36"/>
        <w:numPr>
          <w:ilvl w:val="0"/>
          <w:numId w:val="100"/>
        </w:numPr>
        <w:spacing w:line="360" w:lineRule="auto"/>
        <w:ind w:left="1417" w:leftChars="540" w:hanging="283" w:hangingChars="118"/>
        <w:rPr>
          <w:rFonts w:ascii="仿宋" w:hAnsi="仿宋" w:eastAsia="仿宋" w:cs="仿宋"/>
          <w:color w:val="000000"/>
          <w:kern w:val="0"/>
          <w:sz w:val="24"/>
          <w:lang w:bidi="ar"/>
        </w:rPr>
      </w:pPr>
      <w:r>
        <w:rPr>
          <w:rFonts w:ascii="仿宋" w:hAnsi="仿宋" w:eastAsia="仿宋" w:cs="仿宋"/>
          <w:color w:val="000000"/>
          <w:kern w:val="0"/>
          <w:sz w:val="24"/>
          <w:lang w:bidi="ar"/>
        </w:rPr>
        <w:t>公司应建立数据安全监控和异常分析机制</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并设立专职团队</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通过基线</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日志</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行为</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流量等多种方式收集数据安全异常信息</w:t>
      </w: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有效地收集识别公司数据安全</w:t>
      </w:r>
      <w:r>
        <w:rPr>
          <w:rFonts w:hint="eastAsia" w:ascii="仿宋" w:hAnsi="仿宋" w:eastAsia="仿宋" w:cs="仿宋"/>
          <w:color w:val="000000"/>
          <w:kern w:val="0"/>
          <w:sz w:val="24"/>
          <w:lang w:bidi="ar"/>
        </w:rPr>
        <w:t>事件。</w:t>
      </w:r>
    </w:p>
    <w:p>
      <w:pPr>
        <w:pStyle w:val="36"/>
        <w:numPr>
          <w:ilvl w:val="0"/>
          <w:numId w:val="99"/>
        </w:numPr>
        <w:spacing w:line="360" w:lineRule="auto"/>
        <w:ind w:firstLineChars="0"/>
        <w:rPr>
          <w:rFonts w:ascii="仿宋" w:hAnsi="仿宋" w:eastAsia="仿宋" w:cs="仿宋"/>
          <w:sz w:val="24"/>
          <w:szCs w:val="32"/>
        </w:rPr>
      </w:pPr>
      <w:r>
        <w:rPr>
          <w:rFonts w:ascii="仿宋" w:hAnsi="仿宋" w:eastAsia="仿宋" w:cs="仿宋"/>
          <w:sz w:val="24"/>
          <w:szCs w:val="32"/>
        </w:rPr>
        <w:t>公司应建立安全</w:t>
      </w:r>
      <w:r>
        <w:rPr>
          <w:rFonts w:hint="eastAsia" w:ascii="仿宋" w:hAnsi="仿宋" w:eastAsia="仿宋" w:cs="仿宋"/>
          <w:sz w:val="24"/>
          <w:szCs w:val="32"/>
        </w:rPr>
        <w:t>事件</w:t>
      </w:r>
      <w:r>
        <w:rPr>
          <w:rFonts w:ascii="仿宋" w:hAnsi="仿宋" w:eastAsia="仿宋" w:cs="仿宋"/>
          <w:sz w:val="24"/>
          <w:szCs w:val="32"/>
        </w:rPr>
        <w:t>和弱点的统一上报机制</w:t>
      </w:r>
      <w:r>
        <w:rPr>
          <w:rFonts w:hint="eastAsia" w:ascii="仿宋" w:hAnsi="仿宋" w:eastAsia="仿宋" w:cs="仿宋"/>
          <w:sz w:val="24"/>
          <w:szCs w:val="32"/>
        </w:rPr>
        <w:t>，</w:t>
      </w:r>
      <w:r>
        <w:rPr>
          <w:rFonts w:ascii="仿宋" w:hAnsi="仿宋" w:eastAsia="仿宋" w:cs="仿宋"/>
          <w:sz w:val="24"/>
          <w:szCs w:val="32"/>
        </w:rPr>
        <w:t>集中管理</w:t>
      </w:r>
      <w:r>
        <w:rPr>
          <w:rFonts w:hint="eastAsia" w:ascii="仿宋" w:hAnsi="仿宋" w:eastAsia="仿宋" w:cs="仿宋"/>
          <w:sz w:val="24"/>
          <w:szCs w:val="32"/>
        </w:rPr>
        <w:t>，</w:t>
      </w:r>
      <w:r>
        <w:rPr>
          <w:rFonts w:ascii="仿宋" w:hAnsi="仿宋" w:eastAsia="仿宋" w:cs="仿宋"/>
          <w:sz w:val="24"/>
          <w:szCs w:val="32"/>
        </w:rPr>
        <w:t>并通过邮件</w:t>
      </w:r>
      <w:r>
        <w:rPr>
          <w:rFonts w:hint="eastAsia" w:ascii="仿宋" w:hAnsi="仿宋" w:eastAsia="仿宋" w:cs="仿宋"/>
          <w:sz w:val="24"/>
          <w:szCs w:val="32"/>
        </w:rPr>
        <w:t>、</w:t>
      </w:r>
      <w:r>
        <w:rPr>
          <w:rFonts w:ascii="仿宋" w:hAnsi="仿宋" w:eastAsia="仿宋" w:cs="仿宋"/>
          <w:sz w:val="24"/>
          <w:szCs w:val="32"/>
        </w:rPr>
        <w:t>短信</w:t>
      </w:r>
      <w:r>
        <w:rPr>
          <w:rFonts w:hint="eastAsia" w:ascii="仿宋" w:hAnsi="仿宋" w:eastAsia="仿宋" w:cs="仿宋"/>
          <w:sz w:val="24"/>
          <w:szCs w:val="32"/>
        </w:rPr>
        <w:t>、</w:t>
      </w:r>
      <w:r>
        <w:rPr>
          <w:rFonts w:ascii="仿宋" w:hAnsi="仿宋" w:eastAsia="仿宋" w:cs="仿宋"/>
          <w:sz w:val="24"/>
          <w:szCs w:val="32"/>
        </w:rPr>
        <w:t>其它流程平台以及公司其它内部通讯工具等</w:t>
      </w:r>
      <w:r>
        <w:rPr>
          <w:rFonts w:hint="eastAsia" w:ascii="仿宋" w:hAnsi="仿宋" w:eastAsia="仿宋" w:cs="仿宋"/>
          <w:sz w:val="24"/>
          <w:szCs w:val="32"/>
        </w:rPr>
        <w:t>，</w:t>
      </w:r>
      <w:r>
        <w:rPr>
          <w:rFonts w:ascii="仿宋" w:hAnsi="仿宋" w:eastAsia="仿宋" w:cs="仿宋"/>
          <w:sz w:val="24"/>
          <w:szCs w:val="32"/>
        </w:rPr>
        <w:t>实现安全</w:t>
      </w:r>
      <w:r>
        <w:rPr>
          <w:rFonts w:hint="eastAsia" w:ascii="仿宋" w:hAnsi="仿宋" w:eastAsia="仿宋" w:cs="仿宋"/>
          <w:sz w:val="24"/>
          <w:szCs w:val="32"/>
        </w:rPr>
        <w:t>事件</w:t>
      </w:r>
      <w:r>
        <w:rPr>
          <w:rFonts w:ascii="仿宋" w:hAnsi="仿宋" w:eastAsia="仿宋" w:cs="仿宋"/>
          <w:sz w:val="24"/>
          <w:szCs w:val="32"/>
        </w:rPr>
        <w:t>的有效沟通</w:t>
      </w:r>
      <w:r>
        <w:rPr>
          <w:rFonts w:hint="eastAsia" w:ascii="仿宋" w:hAnsi="仿宋" w:eastAsia="仿宋" w:cs="仿宋"/>
          <w:sz w:val="24"/>
          <w:szCs w:val="32"/>
        </w:rPr>
        <w:t>、评估、响应和跟踪。</w:t>
      </w:r>
    </w:p>
    <w:p>
      <w:pPr>
        <w:pStyle w:val="28"/>
        <w:ind w:left="0"/>
        <w:rPr>
          <w:rFonts w:ascii="仿宋" w:hAnsi="仿宋" w:cs="仿宋"/>
          <w:sz w:val="24"/>
        </w:rPr>
      </w:pPr>
      <w:r>
        <w:rPr>
          <w:rFonts w:hint="eastAsia" w:ascii="仿宋" w:hAnsi="仿宋" w:cs="仿宋"/>
          <w:sz w:val="24"/>
        </w:rPr>
        <w:t>数据安全事件总结复盘</w:t>
      </w:r>
    </w:p>
    <w:p>
      <w:pPr>
        <w:pStyle w:val="36"/>
        <w:numPr>
          <w:ilvl w:val="0"/>
          <w:numId w:val="101"/>
        </w:numPr>
        <w:spacing w:line="360" w:lineRule="auto"/>
        <w:ind w:firstLineChars="0"/>
        <w:rPr>
          <w:rFonts w:ascii="仿宋" w:hAnsi="仿宋" w:eastAsia="仿宋" w:cs="仿宋"/>
          <w:sz w:val="24"/>
          <w:szCs w:val="32"/>
        </w:rPr>
      </w:pPr>
      <w:r>
        <w:rPr>
          <w:rFonts w:hint="eastAsia" w:ascii="仿宋" w:hAnsi="仿宋" w:eastAsia="仿宋" w:cs="仿宋"/>
          <w:sz w:val="24"/>
          <w:szCs w:val="32"/>
        </w:rPr>
        <w:t>数据安全事件响应结束后，数据安全管理小组应组织相关人员进行事件总结和复盘，回顾整个事件或故障的处理过程，将事件经验教训沉淀形成知识库，避免出现重复的安全问题。</w:t>
      </w:r>
    </w:p>
    <w:p>
      <w:pPr>
        <w:pStyle w:val="36"/>
        <w:numPr>
          <w:ilvl w:val="0"/>
          <w:numId w:val="101"/>
        </w:numPr>
        <w:spacing w:line="360" w:lineRule="auto"/>
        <w:ind w:firstLineChars="0"/>
        <w:rPr>
          <w:rFonts w:ascii="仿宋" w:hAnsi="仿宋" w:eastAsia="仿宋" w:cs="仿宋"/>
          <w:sz w:val="24"/>
          <w:szCs w:val="32"/>
        </w:rPr>
      </w:pPr>
      <w:r>
        <w:rPr>
          <w:rFonts w:ascii="仿宋" w:hAnsi="仿宋" w:eastAsia="仿宋" w:cs="仿宋"/>
          <w:sz w:val="24"/>
          <w:szCs w:val="32"/>
        </w:rPr>
        <w:t>数据安全事件响应结束后</w:t>
      </w:r>
      <w:r>
        <w:rPr>
          <w:rFonts w:hint="eastAsia" w:ascii="仿宋" w:hAnsi="仿宋" w:eastAsia="仿宋" w:cs="仿宋"/>
          <w:sz w:val="24"/>
          <w:szCs w:val="32"/>
        </w:rPr>
        <w:t>，</w:t>
      </w:r>
      <w:r>
        <w:rPr>
          <w:rFonts w:ascii="仿宋" w:hAnsi="仿宋" w:eastAsia="仿宋" w:cs="仿宋"/>
          <w:sz w:val="24"/>
          <w:szCs w:val="32"/>
        </w:rPr>
        <w:t>数据管理员应及时整理</w:t>
      </w:r>
      <w:r>
        <w:rPr>
          <w:rFonts w:hint="eastAsia" w:ascii="仿宋" w:hAnsi="仿宋" w:eastAsia="仿宋" w:cs="仿宋"/>
          <w:sz w:val="24"/>
          <w:szCs w:val="32"/>
        </w:rPr>
        <w:t>《数据安全事件记录》、《数据安全事件处理报告》，并由各部门数据接口人和数据安全管理小组成员进行审核、备案，使得公司安全事件记录可追溯。</w:t>
      </w:r>
    </w:p>
    <w:p>
      <w:pPr>
        <w:pStyle w:val="36"/>
        <w:numPr>
          <w:ilvl w:val="0"/>
          <w:numId w:val="101"/>
        </w:numPr>
        <w:spacing w:line="360" w:lineRule="auto"/>
        <w:ind w:firstLineChars="0"/>
        <w:rPr>
          <w:rFonts w:ascii="仿宋" w:hAnsi="仿宋" w:eastAsia="仿宋" w:cs="仿宋"/>
          <w:sz w:val="24"/>
          <w:szCs w:val="32"/>
        </w:rPr>
      </w:pPr>
      <w:r>
        <w:rPr>
          <w:rFonts w:hint="eastAsia" w:ascii="仿宋" w:hAnsi="仿宋" w:eastAsia="仿宋" w:cs="仿宋"/>
          <w:sz w:val="24"/>
          <w:szCs w:val="32"/>
        </w:rPr>
        <w:t>数据安全管理小组应每年牵头组织各部门级主管，回顾公司整体数据安全事件，评估安全防御体系，分析造成事件或问题的根本原因，是否存在可优化的防御机制或响应流程，提升公司整体数据安全事件响应能力。</w:t>
      </w:r>
    </w:p>
    <w:p>
      <w:pPr>
        <w:pStyle w:val="28"/>
        <w:ind w:left="0"/>
        <w:rPr>
          <w:rFonts w:ascii="仿宋" w:hAnsi="仿宋" w:cs="仿宋"/>
          <w:sz w:val="24"/>
        </w:rPr>
      </w:pPr>
      <w:r>
        <w:rPr>
          <w:rFonts w:ascii="仿宋" w:hAnsi="仿宋" w:cs="仿宋"/>
          <w:sz w:val="24"/>
        </w:rPr>
        <w:t>数据安全事件监督</w:t>
      </w:r>
      <w:r>
        <w:rPr>
          <w:rFonts w:hint="eastAsia" w:ascii="仿宋" w:hAnsi="仿宋" w:cs="仿宋"/>
          <w:sz w:val="24"/>
        </w:rPr>
        <w:t>与管理</w:t>
      </w:r>
    </w:p>
    <w:p>
      <w:pPr>
        <w:pStyle w:val="36"/>
        <w:numPr>
          <w:ilvl w:val="0"/>
          <w:numId w:val="102"/>
        </w:numPr>
        <w:spacing w:line="360" w:lineRule="auto"/>
        <w:ind w:firstLineChars="0"/>
        <w:rPr>
          <w:rFonts w:ascii="仿宋" w:hAnsi="仿宋" w:eastAsia="仿宋" w:cs="仿宋"/>
          <w:sz w:val="24"/>
          <w:szCs w:val="32"/>
        </w:rPr>
      </w:pPr>
      <w:r>
        <w:rPr>
          <w:rFonts w:hint="eastAsia" w:ascii="仿宋" w:hAnsi="仿宋" w:eastAsia="仿宋" w:cs="仿宋"/>
          <w:sz w:val="24"/>
          <w:szCs w:val="32"/>
        </w:rPr>
        <w:t>数据安全管理小组应定期（至少每年一次）提取有代表性的数据安全事件，分析造成信息 的原因，组织公司相关人员进行数据安全事件培训和宣贯，提高安全技能和意识培训。</w:t>
      </w:r>
    </w:p>
    <w:p>
      <w:pPr>
        <w:pStyle w:val="36"/>
        <w:numPr>
          <w:ilvl w:val="0"/>
          <w:numId w:val="102"/>
        </w:numPr>
        <w:spacing w:line="360" w:lineRule="auto"/>
        <w:ind w:firstLineChars="0"/>
        <w:rPr>
          <w:rFonts w:ascii="仿宋" w:hAnsi="仿宋" w:eastAsia="仿宋" w:cs="仿宋"/>
          <w:sz w:val="24"/>
          <w:szCs w:val="32"/>
        </w:rPr>
      </w:pPr>
      <w:r>
        <w:rPr>
          <w:rFonts w:hint="eastAsia" w:ascii="仿宋" w:hAnsi="仿宋" w:eastAsia="仿宋" w:cs="仿宋"/>
          <w:sz w:val="24"/>
          <w:szCs w:val="32"/>
        </w:rPr>
        <w:t>根据相关法律法规变化情况，以及事件处置情况，及时更新、调整数据安全事件应急预案（包含但不限于个人信息安全事件应急预案、数据备份恢复演练），确保每年至少进行一次相关应急预案修订与评审，确保应急预案的有效性与合理性。</w:t>
      </w:r>
    </w:p>
    <w:p>
      <w:pPr>
        <w:pStyle w:val="36"/>
        <w:numPr>
          <w:ilvl w:val="0"/>
          <w:numId w:val="102"/>
        </w:numPr>
        <w:spacing w:line="360" w:lineRule="auto"/>
        <w:ind w:firstLineChars="0"/>
        <w:rPr>
          <w:rFonts w:ascii="仿宋" w:hAnsi="仿宋" w:eastAsia="仿宋" w:cs="仿宋"/>
          <w:sz w:val="24"/>
          <w:szCs w:val="32"/>
        </w:rPr>
      </w:pPr>
      <w:r>
        <w:rPr>
          <w:rFonts w:hint="eastAsia" w:ascii="仿宋" w:hAnsi="仿宋" w:eastAsia="仿宋" w:cs="仿宋"/>
          <w:sz w:val="24"/>
          <w:szCs w:val="32"/>
        </w:rPr>
        <w:t>每年应至少组织一次相关应急预案的演练，做好相关应急演练计划、演练记录以及应急演练报告，提高应急实战能力。并且演练结束后，根据应急演练结果，及时完善、更新应急预案内容。</w:t>
      </w:r>
    </w:p>
    <w:p>
      <w:pPr>
        <w:pStyle w:val="36"/>
        <w:numPr>
          <w:ilvl w:val="0"/>
          <w:numId w:val="102"/>
        </w:numPr>
        <w:spacing w:line="360" w:lineRule="auto"/>
        <w:ind w:firstLineChars="0"/>
        <w:rPr>
          <w:rFonts w:ascii="仿宋" w:hAnsi="仿宋" w:eastAsia="仿宋" w:cs="仿宋"/>
          <w:sz w:val="24"/>
          <w:szCs w:val="32"/>
        </w:rPr>
      </w:pPr>
      <w:r>
        <w:rPr>
          <w:rFonts w:ascii="仿宋" w:hAnsi="仿宋" w:eastAsia="仿宋" w:cs="仿宋"/>
          <w:sz w:val="24"/>
          <w:szCs w:val="32"/>
        </w:rPr>
        <w:t>针对公司数据安全事件处理流程的有效性</w:t>
      </w:r>
      <w:r>
        <w:rPr>
          <w:rFonts w:hint="eastAsia" w:ascii="仿宋" w:hAnsi="仿宋" w:eastAsia="仿宋" w:cs="仿宋"/>
          <w:sz w:val="24"/>
          <w:szCs w:val="32"/>
        </w:rPr>
        <w:t>、</w:t>
      </w:r>
      <w:r>
        <w:rPr>
          <w:rFonts w:ascii="仿宋" w:hAnsi="仿宋" w:eastAsia="仿宋" w:cs="仿宋"/>
          <w:sz w:val="24"/>
          <w:szCs w:val="32"/>
        </w:rPr>
        <w:t>职责的明确性</w:t>
      </w:r>
      <w:r>
        <w:rPr>
          <w:rFonts w:hint="eastAsia" w:ascii="仿宋" w:hAnsi="仿宋" w:eastAsia="仿宋" w:cs="仿宋"/>
          <w:sz w:val="24"/>
          <w:szCs w:val="32"/>
        </w:rPr>
        <w:t>、</w:t>
      </w:r>
      <w:r>
        <w:rPr>
          <w:rFonts w:ascii="仿宋" w:hAnsi="仿宋" w:eastAsia="仿宋" w:cs="仿宋"/>
          <w:sz w:val="24"/>
          <w:szCs w:val="32"/>
        </w:rPr>
        <w:t>响应的及时性</w:t>
      </w:r>
      <w:r>
        <w:rPr>
          <w:rFonts w:hint="eastAsia" w:ascii="仿宋" w:hAnsi="仿宋" w:eastAsia="仿宋" w:cs="仿宋"/>
          <w:sz w:val="24"/>
          <w:szCs w:val="32"/>
        </w:rPr>
        <w:t>、</w:t>
      </w:r>
      <w:r>
        <w:rPr>
          <w:rFonts w:ascii="仿宋" w:hAnsi="仿宋" w:eastAsia="仿宋" w:cs="仿宋"/>
          <w:sz w:val="24"/>
          <w:szCs w:val="32"/>
        </w:rPr>
        <w:t>资源的充分性等</w:t>
      </w:r>
      <w:r>
        <w:rPr>
          <w:rFonts w:hint="eastAsia" w:ascii="仿宋" w:hAnsi="仿宋" w:eastAsia="仿宋" w:cs="仿宋"/>
          <w:sz w:val="24"/>
          <w:szCs w:val="32"/>
        </w:rPr>
        <w:t>，</w:t>
      </w:r>
      <w:r>
        <w:rPr>
          <w:rFonts w:ascii="仿宋" w:hAnsi="仿宋" w:eastAsia="仿宋" w:cs="仿宋"/>
          <w:sz w:val="24"/>
          <w:szCs w:val="32"/>
        </w:rPr>
        <w:t>数据安全管理小组应定期</w:t>
      </w:r>
      <w:r>
        <w:rPr>
          <w:rFonts w:hint="eastAsia" w:ascii="仿宋" w:hAnsi="仿宋" w:eastAsia="仿宋" w:cs="仿宋"/>
          <w:sz w:val="24"/>
          <w:szCs w:val="32"/>
        </w:rPr>
        <w:t>（每年至少一次）</w:t>
      </w:r>
      <w:r>
        <w:rPr>
          <w:rFonts w:ascii="仿宋" w:hAnsi="仿宋" w:eastAsia="仿宋" w:cs="仿宋"/>
          <w:sz w:val="24"/>
          <w:szCs w:val="32"/>
        </w:rPr>
        <w:t>进行检查审计</w:t>
      </w:r>
      <w:r>
        <w:rPr>
          <w:rFonts w:hint="eastAsia" w:ascii="仿宋" w:hAnsi="仿宋" w:eastAsia="仿宋" w:cs="仿宋"/>
          <w:sz w:val="24"/>
          <w:szCs w:val="32"/>
        </w:rPr>
        <w:t>，</w:t>
      </w:r>
      <w:r>
        <w:rPr>
          <w:rFonts w:ascii="仿宋" w:hAnsi="仿宋" w:eastAsia="仿宋" w:cs="仿宋"/>
          <w:sz w:val="24"/>
          <w:szCs w:val="32"/>
        </w:rPr>
        <w:t>以不断改进数据安全事件处理流程</w:t>
      </w:r>
      <w:r>
        <w:rPr>
          <w:rFonts w:hint="eastAsia" w:ascii="仿宋" w:hAnsi="仿宋" w:eastAsia="仿宋" w:cs="仿宋"/>
          <w:sz w:val="24"/>
          <w:szCs w:val="32"/>
        </w:rPr>
        <w:t>。</w:t>
      </w:r>
    </w:p>
    <w:p>
      <w:pPr>
        <w:pStyle w:val="36"/>
        <w:numPr>
          <w:ilvl w:val="0"/>
          <w:numId w:val="102"/>
        </w:numPr>
        <w:spacing w:line="360" w:lineRule="auto"/>
        <w:ind w:firstLineChars="0"/>
        <w:rPr>
          <w:rFonts w:ascii="仿宋" w:hAnsi="仿宋" w:eastAsia="仿宋" w:cs="仿宋"/>
          <w:sz w:val="24"/>
          <w:szCs w:val="32"/>
        </w:rPr>
      </w:pPr>
      <w:r>
        <w:rPr>
          <w:rFonts w:ascii="仿宋" w:hAnsi="仿宋" w:eastAsia="仿宋" w:cs="仿宋"/>
          <w:sz w:val="24"/>
          <w:szCs w:val="32"/>
        </w:rPr>
        <w:t>数据安全管理小组应定期或不定期对应急预案</w:t>
      </w:r>
      <w:r>
        <w:rPr>
          <w:rFonts w:hint="eastAsia" w:ascii="仿宋" w:hAnsi="仿宋" w:eastAsia="仿宋" w:cs="仿宋"/>
          <w:sz w:val="24"/>
          <w:szCs w:val="32"/>
        </w:rPr>
        <w:t>、</w:t>
      </w:r>
      <w:r>
        <w:rPr>
          <w:rFonts w:ascii="仿宋" w:hAnsi="仿宋" w:eastAsia="仿宋" w:cs="仿宋"/>
          <w:sz w:val="24"/>
          <w:szCs w:val="32"/>
        </w:rPr>
        <w:t>演练情况进行检查</w:t>
      </w:r>
      <w:r>
        <w:rPr>
          <w:rFonts w:hint="eastAsia" w:ascii="仿宋" w:hAnsi="仿宋" w:eastAsia="仿宋" w:cs="仿宋"/>
          <w:sz w:val="24"/>
          <w:szCs w:val="32"/>
        </w:rPr>
        <w:t>，</w:t>
      </w:r>
      <w:r>
        <w:rPr>
          <w:rFonts w:ascii="仿宋" w:hAnsi="仿宋" w:eastAsia="仿宋" w:cs="仿宋"/>
          <w:sz w:val="24"/>
          <w:szCs w:val="32"/>
        </w:rPr>
        <w:t>对为有效落实预案各项规定进行通报批评</w:t>
      </w:r>
      <w:r>
        <w:rPr>
          <w:rFonts w:hint="eastAsia" w:ascii="仿宋" w:hAnsi="仿宋" w:eastAsia="仿宋" w:cs="仿宋"/>
          <w:sz w:val="24"/>
          <w:szCs w:val="32"/>
        </w:rPr>
        <w:t>，</w:t>
      </w:r>
      <w:r>
        <w:rPr>
          <w:rFonts w:ascii="仿宋" w:hAnsi="仿宋" w:eastAsia="仿宋" w:cs="仿宋"/>
          <w:sz w:val="24"/>
          <w:szCs w:val="32"/>
        </w:rPr>
        <w:t>督促限期改正</w:t>
      </w:r>
      <w:r>
        <w:rPr>
          <w:rFonts w:hint="eastAsia" w:ascii="仿宋" w:hAnsi="仿宋" w:eastAsia="仿宋" w:cs="仿宋"/>
          <w:sz w:val="24"/>
          <w:szCs w:val="32"/>
        </w:rPr>
        <w:t>。</w:t>
      </w:r>
    </w:p>
    <w:p>
      <w:pPr>
        <w:pStyle w:val="36"/>
        <w:spacing w:line="360" w:lineRule="auto"/>
        <w:ind w:left="1200" w:firstLine="0" w:firstLineChars="0"/>
        <w:rPr>
          <w:rFonts w:ascii="仿宋" w:hAnsi="仿宋" w:eastAsia="仿宋" w:cs="仿宋"/>
          <w:sz w:val="24"/>
          <w:szCs w:val="32"/>
        </w:rPr>
      </w:pPr>
    </w:p>
    <w:p>
      <w:pPr>
        <w:pStyle w:val="36"/>
        <w:spacing w:line="360" w:lineRule="auto"/>
        <w:ind w:firstLine="0" w:firstLineChars="0"/>
        <w:rPr>
          <w:rFonts w:ascii="仿宋" w:hAnsi="仿宋" w:eastAsia="仿宋" w:cs="仿宋"/>
          <w:sz w:val="24"/>
          <w:szCs w:val="32"/>
        </w:rPr>
        <w:sectPr>
          <w:pgSz w:w="11906" w:h="16838"/>
          <w:pgMar w:top="720" w:right="720" w:bottom="720" w:left="720" w:header="851" w:footer="992" w:gutter="0"/>
          <w:cols w:space="425" w:num="1"/>
          <w:docGrid w:type="lines" w:linePitch="312" w:charSpace="0"/>
        </w:sectPr>
      </w:pPr>
    </w:p>
    <w:p>
      <w:pPr>
        <w:pStyle w:val="36"/>
        <w:spacing w:line="360" w:lineRule="auto"/>
        <w:ind w:left="1200" w:firstLine="0" w:firstLineChars="0"/>
        <w:rPr>
          <w:rFonts w:ascii="仿宋" w:hAnsi="仿宋" w:eastAsia="仿宋" w:cs="仿宋"/>
          <w:sz w:val="24"/>
          <w:szCs w:val="32"/>
        </w:rPr>
      </w:pPr>
    </w:p>
    <w:p>
      <w:pPr>
        <w:pStyle w:val="5"/>
        <w:numPr>
          <w:ilvl w:val="0"/>
          <w:numId w:val="3"/>
        </w:numPr>
        <w:jc w:val="center"/>
        <w:rPr>
          <w:rFonts w:hint="default" w:ascii="仿宋" w:hAnsi="仿宋" w:eastAsia="仿宋"/>
          <w:sz w:val="28"/>
          <w:szCs w:val="28"/>
        </w:rPr>
      </w:pPr>
      <w:r>
        <w:rPr>
          <w:rFonts w:hint="default" w:ascii="仿宋" w:hAnsi="仿宋" w:eastAsia="仿宋"/>
          <w:sz w:val="28"/>
          <w:szCs w:val="28"/>
        </w:rPr>
        <w:t>日常数据安全</w:t>
      </w:r>
      <w:r>
        <w:rPr>
          <w:rFonts w:ascii="仿宋" w:hAnsi="仿宋" w:eastAsia="仿宋"/>
          <w:sz w:val="28"/>
          <w:szCs w:val="28"/>
        </w:rPr>
        <w:t>防护</w:t>
      </w:r>
      <w:r>
        <w:rPr>
          <w:rFonts w:hint="default" w:ascii="仿宋" w:hAnsi="仿宋" w:eastAsia="仿宋"/>
          <w:sz w:val="28"/>
          <w:szCs w:val="28"/>
        </w:rPr>
        <w:t>建议</w:t>
      </w:r>
    </w:p>
    <w:p>
      <w:pPr>
        <w:pStyle w:val="28"/>
        <w:ind w:left="0"/>
        <w:rPr>
          <w:rFonts w:ascii="仿宋" w:hAnsi="仿宋" w:cs="仿宋"/>
          <w:sz w:val="24"/>
        </w:rPr>
      </w:pPr>
      <w:r>
        <w:rPr>
          <w:rFonts w:hint="eastAsia" w:ascii="仿宋" w:hAnsi="仿宋" w:cs="仿宋"/>
          <w:sz w:val="24"/>
        </w:rPr>
        <w:t>安全使用电子邮件建议</w:t>
      </w:r>
    </w:p>
    <w:p>
      <w:pPr>
        <w:pStyle w:val="36"/>
        <w:numPr>
          <w:ilvl w:val="0"/>
          <w:numId w:val="103"/>
        </w:numPr>
        <w:spacing w:line="360" w:lineRule="auto"/>
        <w:ind w:firstLineChars="0"/>
        <w:rPr>
          <w:rFonts w:ascii="仿宋" w:hAnsi="仿宋" w:eastAsia="仿宋" w:cs="仿宋"/>
          <w:sz w:val="24"/>
          <w:szCs w:val="32"/>
        </w:rPr>
      </w:pPr>
      <w:r>
        <w:rPr>
          <w:rFonts w:ascii="仿宋" w:hAnsi="仿宋" w:eastAsia="仿宋" w:cs="仿宋"/>
          <w:sz w:val="24"/>
          <w:szCs w:val="32"/>
        </w:rPr>
        <w:t>收发公司业务数据时</w:t>
      </w:r>
      <w:r>
        <w:rPr>
          <w:rFonts w:hint="eastAsia" w:ascii="仿宋" w:hAnsi="仿宋" w:eastAsia="仿宋" w:cs="仿宋"/>
          <w:sz w:val="24"/>
          <w:szCs w:val="32"/>
        </w:rPr>
        <w:t>，</w:t>
      </w:r>
      <w:r>
        <w:rPr>
          <w:rFonts w:ascii="仿宋" w:hAnsi="仿宋" w:eastAsia="仿宋" w:cs="仿宋"/>
          <w:sz w:val="24"/>
          <w:szCs w:val="32"/>
        </w:rPr>
        <w:t>必须使用公司内部邮箱或内部通讯工具</w:t>
      </w:r>
      <w:r>
        <w:rPr>
          <w:rFonts w:hint="eastAsia" w:ascii="仿宋" w:hAnsi="仿宋" w:eastAsia="仿宋" w:cs="仿宋"/>
          <w:sz w:val="24"/>
          <w:szCs w:val="32"/>
        </w:rPr>
        <w:t>。</w:t>
      </w:r>
    </w:p>
    <w:p>
      <w:pPr>
        <w:pStyle w:val="36"/>
        <w:numPr>
          <w:ilvl w:val="0"/>
          <w:numId w:val="103"/>
        </w:numPr>
        <w:spacing w:line="360" w:lineRule="auto"/>
        <w:ind w:firstLineChars="0"/>
        <w:rPr>
          <w:rFonts w:ascii="仿宋" w:hAnsi="仿宋" w:eastAsia="仿宋" w:cs="仿宋"/>
          <w:sz w:val="24"/>
          <w:szCs w:val="32"/>
        </w:rPr>
      </w:pPr>
      <w:r>
        <w:rPr>
          <w:rFonts w:ascii="仿宋" w:hAnsi="仿宋" w:eastAsia="仿宋" w:cs="仿宋"/>
          <w:sz w:val="24"/>
          <w:szCs w:val="32"/>
        </w:rPr>
        <w:t>发送敏感内容时</w:t>
      </w:r>
      <w:r>
        <w:rPr>
          <w:rFonts w:hint="eastAsia" w:ascii="仿宋" w:hAnsi="仿宋" w:eastAsia="仿宋" w:cs="仿宋"/>
          <w:sz w:val="24"/>
          <w:szCs w:val="32"/>
        </w:rPr>
        <w:t>，</w:t>
      </w:r>
      <w:r>
        <w:rPr>
          <w:rFonts w:ascii="仿宋" w:hAnsi="仿宋" w:eastAsia="仿宋" w:cs="仿宋"/>
          <w:sz w:val="24"/>
          <w:szCs w:val="32"/>
        </w:rPr>
        <w:t>可将敏感内容加密压缩</w:t>
      </w:r>
      <w:r>
        <w:rPr>
          <w:rFonts w:hint="eastAsia" w:ascii="仿宋" w:hAnsi="仿宋" w:eastAsia="仿宋" w:cs="仿宋"/>
          <w:sz w:val="24"/>
          <w:szCs w:val="32"/>
        </w:rPr>
        <w:t>，</w:t>
      </w:r>
      <w:r>
        <w:rPr>
          <w:rFonts w:ascii="仿宋" w:hAnsi="仿宋" w:eastAsia="仿宋" w:cs="仿宋"/>
          <w:sz w:val="24"/>
          <w:szCs w:val="32"/>
        </w:rPr>
        <w:t>通过附件发送</w:t>
      </w:r>
      <w:r>
        <w:rPr>
          <w:rFonts w:hint="eastAsia" w:ascii="仿宋" w:hAnsi="仿宋" w:eastAsia="仿宋" w:cs="仿宋"/>
          <w:sz w:val="24"/>
          <w:szCs w:val="32"/>
        </w:rPr>
        <w:t>，</w:t>
      </w:r>
      <w:r>
        <w:rPr>
          <w:rFonts w:ascii="仿宋" w:hAnsi="仿宋" w:eastAsia="仿宋" w:cs="仿宋"/>
          <w:sz w:val="24"/>
          <w:szCs w:val="32"/>
        </w:rPr>
        <w:t>并通过其他方式告知接收方密码</w:t>
      </w:r>
      <w:r>
        <w:rPr>
          <w:rFonts w:hint="eastAsia" w:ascii="仿宋" w:hAnsi="仿宋" w:eastAsia="仿宋" w:cs="仿宋"/>
          <w:sz w:val="24"/>
          <w:szCs w:val="32"/>
        </w:rPr>
        <w:t>。</w:t>
      </w:r>
    </w:p>
    <w:p>
      <w:pPr>
        <w:pStyle w:val="36"/>
        <w:numPr>
          <w:ilvl w:val="0"/>
          <w:numId w:val="103"/>
        </w:numPr>
        <w:spacing w:line="360" w:lineRule="auto"/>
        <w:ind w:firstLineChars="0"/>
        <w:rPr>
          <w:rFonts w:ascii="仿宋" w:hAnsi="仿宋" w:eastAsia="仿宋" w:cs="仿宋"/>
          <w:sz w:val="24"/>
          <w:szCs w:val="32"/>
        </w:rPr>
      </w:pPr>
      <w:r>
        <w:rPr>
          <w:rFonts w:ascii="仿宋" w:hAnsi="仿宋" w:eastAsia="仿宋" w:cs="仿宋"/>
          <w:sz w:val="24"/>
          <w:szCs w:val="32"/>
        </w:rPr>
        <w:t>发送前应再次检查收件人地址</w:t>
      </w:r>
      <w:r>
        <w:rPr>
          <w:rFonts w:hint="eastAsia" w:ascii="仿宋" w:hAnsi="仿宋" w:eastAsia="仿宋" w:cs="仿宋"/>
          <w:sz w:val="24"/>
          <w:szCs w:val="32"/>
        </w:rPr>
        <w:t>、</w:t>
      </w:r>
      <w:r>
        <w:rPr>
          <w:rFonts w:ascii="仿宋" w:hAnsi="仿宋" w:eastAsia="仿宋" w:cs="仿宋"/>
          <w:sz w:val="24"/>
          <w:szCs w:val="32"/>
        </w:rPr>
        <w:t>内容</w:t>
      </w:r>
      <w:r>
        <w:rPr>
          <w:rFonts w:hint="eastAsia" w:ascii="仿宋" w:hAnsi="仿宋" w:eastAsia="仿宋" w:cs="仿宋"/>
          <w:sz w:val="24"/>
          <w:szCs w:val="32"/>
        </w:rPr>
        <w:t>、</w:t>
      </w:r>
      <w:r>
        <w:rPr>
          <w:rFonts w:ascii="仿宋" w:hAnsi="仿宋" w:eastAsia="仿宋" w:cs="仿宋"/>
          <w:sz w:val="24"/>
          <w:szCs w:val="32"/>
        </w:rPr>
        <w:t>附件是否正确无误</w:t>
      </w:r>
      <w:r>
        <w:rPr>
          <w:rFonts w:hint="eastAsia" w:ascii="仿宋" w:hAnsi="仿宋" w:eastAsia="仿宋" w:cs="仿宋"/>
          <w:sz w:val="24"/>
          <w:szCs w:val="32"/>
        </w:rPr>
        <w:t>。</w:t>
      </w:r>
    </w:p>
    <w:p>
      <w:pPr>
        <w:pStyle w:val="36"/>
        <w:numPr>
          <w:ilvl w:val="0"/>
          <w:numId w:val="103"/>
        </w:numPr>
        <w:spacing w:line="360" w:lineRule="auto"/>
        <w:ind w:firstLineChars="0"/>
        <w:rPr>
          <w:rFonts w:ascii="仿宋" w:hAnsi="仿宋" w:eastAsia="仿宋" w:cs="仿宋"/>
          <w:sz w:val="24"/>
          <w:szCs w:val="32"/>
        </w:rPr>
      </w:pPr>
      <w:r>
        <w:rPr>
          <w:rFonts w:ascii="仿宋" w:hAnsi="仿宋" w:eastAsia="仿宋" w:cs="仿宋"/>
          <w:sz w:val="24"/>
          <w:szCs w:val="32"/>
        </w:rPr>
        <w:t>定期删除敏感邮件</w:t>
      </w:r>
      <w:r>
        <w:rPr>
          <w:rFonts w:hint="eastAsia" w:ascii="仿宋" w:hAnsi="仿宋" w:eastAsia="仿宋" w:cs="仿宋"/>
          <w:sz w:val="24"/>
          <w:szCs w:val="32"/>
        </w:rPr>
        <w:t>。</w:t>
      </w:r>
    </w:p>
    <w:p>
      <w:pPr>
        <w:pStyle w:val="28"/>
        <w:ind w:left="0"/>
        <w:rPr>
          <w:rFonts w:ascii="仿宋" w:hAnsi="仿宋" w:cs="仿宋"/>
          <w:sz w:val="24"/>
        </w:rPr>
      </w:pPr>
      <w:r>
        <w:rPr>
          <w:rFonts w:hint="eastAsia" w:ascii="仿宋" w:hAnsi="仿宋" w:cs="仿宋"/>
          <w:sz w:val="24"/>
        </w:rPr>
        <w:t>安全使用终端设备建议</w:t>
      </w:r>
    </w:p>
    <w:p>
      <w:pPr>
        <w:pStyle w:val="36"/>
        <w:numPr>
          <w:ilvl w:val="0"/>
          <w:numId w:val="104"/>
        </w:numPr>
        <w:spacing w:line="360" w:lineRule="auto"/>
        <w:ind w:firstLineChars="0"/>
        <w:rPr>
          <w:rFonts w:ascii="仿宋" w:hAnsi="仿宋" w:eastAsia="仿宋" w:cs="仿宋"/>
          <w:sz w:val="24"/>
          <w:szCs w:val="32"/>
        </w:rPr>
      </w:pPr>
      <w:r>
        <w:rPr>
          <w:rFonts w:hint="eastAsia" w:ascii="仿宋" w:hAnsi="仿宋" w:eastAsia="仿宋" w:cs="仿宋"/>
          <w:sz w:val="24"/>
          <w:szCs w:val="32"/>
        </w:rPr>
        <w:t>电脑丢失后及时跟I</w:t>
      </w:r>
      <w:r>
        <w:rPr>
          <w:rFonts w:ascii="仿宋" w:hAnsi="仿宋" w:eastAsia="仿宋" w:cs="仿宋"/>
          <w:sz w:val="24"/>
          <w:szCs w:val="32"/>
        </w:rPr>
        <w:t>T部门报告</w:t>
      </w:r>
      <w:r>
        <w:rPr>
          <w:rFonts w:hint="eastAsia" w:ascii="仿宋" w:hAnsi="仿宋" w:eastAsia="仿宋" w:cs="仿宋"/>
          <w:sz w:val="24"/>
          <w:szCs w:val="32"/>
        </w:rPr>
        <w:t>。</w:t>
      </w:r>
    </w:p>
    <w:p>
      <w:pPr>
        <w:pStyle w:val="36"/>
        <w:numPr>
          <w:ilvl w:val="0"/>
          <w:numId w:val="104"/>
        </w:numPr>
        <w:spacing w:line="360" w:lineRule="auto"/>
        <w:ind w:firstLineChars="0"/>
        <w:rPr>
          <w:rFonts w:ascii="仿宋" w:hAnsi="仿宋" w:eastAsia="仿宋" w:cs="仿宋"/>
          <w:sz w:val="24"/>
          <w:szCs w:val="32"/>
        </w:rPr>
      </w:pPr>
      <w:r>
        <w:rPr>
          <w:rFonts w:ascii="仿宋" w:hAnsi="仿宋" w:eastAsia="仿宋" w:cs="仿宋"/>
          <w:sz w:val="24"/>
          <w:szCs w:val="32"/>
        </w:rPr>
        <w:t>离开座位时</w:t>
      </w:r>
      <w:r>
        <w:rPr>
          <w:rFonts w:hint="eastAsia" w:ascii="仿宋" w:hAnsi="仿宋" w:eastAsia="仿宋" w:cs="仿宋"/>
          <w:sz w:val="24"/>
          <w:szCs w:val="32"/>
        </w:rPr>
        <w:t>，</w:t>
      </w:r>
      <w:r>
        <w:rPr>
          <w:rFonts w:ascii="仿宋" w:hAnsi="仿宋" w:eastAsia="仿宋" w:cs="仿宋"/>
          <w:sz w:val="24"/>
          <w:szCs w:val="32"/>
        </w:rPr>
        <w:t>应设置电脑为退出状态或锁屏状态</w:t>
      </w:r>
      <w:r>
        <w:rPr>
          <w:rFonts w:hint="eastAsia" w:ascii="仿宋" w:hAnsi="仿宋" w:eastAsia="仿宋" w:cs="仿宋"/>
          <w:sz w:val="24"/>
          <w:szCs w:val="32"/>
        </w:rPr>
        <w:t>。</w:t>
      </w:r>
    </w:p>
    <w:p>
      <w:pPr>
        <w:pStyle w:val="36"/>
        <w:numPr>
          <w:ilvl w:val="0"/>
          <w:numId w:val="104"/>
        </w:numPr>
        <w:spacing w:line="360" w:lineRule="auto"/>
        <w:ind w:firstLineChars="0"/>
        <w:rPr>
          <w:rFonts w:ascii="仿宋" w:hAnsi="仿宋" w:eastAsia="仿宋" w:cs="仿宋"/>
          <w:sz w:val="24"/>
          <w:szCs w:val="32"/>
        </w:rPr>
      </w:pPr>
      <w:r>
        <w:rPr>
          <w:rFonts w:ascii="仿宋" w:hAnsi="仿宋" w:eastAsia="仿宋" w:cs="仿宋"/>
          <w:sz w:val="24"/>
          <w:szCs w:val="32"/>
        </w:rPr>
        <w:t>仅从官方应用商店下载安装应用</w:t>
      </w:r>
      <w:r>
        <w:rPr>
          <w:rFonts w:hint="eastAsia" w:ascii="仿宋" w:hAnsi="仿宋" w:eastAsia="仿宋" w:cs="仿宋"/>
          <w:sz w:val="24"/>
          <w:szCs w:val="32"/>
        </w:rPr>
        <w:t>。</w:t>
      </w:r>
    </w:p>
    <w:p>
      <w:pPr>
        <w:pStyle w:val="36"/>
        <w:numPr>
          <w:ilvl w:val="0"/>
          <w:numId w:val="104"/>
        </w:numPr>
        <w:spacing w:line="360" w:lineRule="auto"/>
        <w:ind w:firstLineChars="0"/>
        <w:rPr>
          <w:rFonts w:ascii="仿宋" w:hAnsi="仿宋" w:eastAsia="仿宋" w:cs="仿宋"/>
          <w:sz w:val="24"/>
          <w:szCs w:val="32"/>
        </w:rPr>
      </w:pPr>
      <w:r>
        <w:rPr>
          <w:rFonts w:ascii="仿宋" w:hAnsi="仿宋" w:eastAsia="仿宋" w:cs="仿宋"/>
          <w:sz w:val="24"/>
          <w:szCs w:val="32"/>
        </w:rPr>
        <w:t>及时安装应用更新</w:t>
      </w:r>
      <w:r>
        <w:rPr>
          <w:rFonts w:hint="eastAsia" w:ascii="仿宋" w:hAnsi="仿宋" w:eastAsia="仿宋" w:cs="仿宋"/>
          <w:sz w:val="24"/>
          <w:szCs w:val="32"/>
        </w:rPr>
        <w:t>。</w:t>
      </w:r>
    </w:p>
    <w:p>
      <w:pPr>
        <w:pStyle w:val="36"/>
        <w:numPr>
          <w:ilvl w:val="0"/>
          <w:numId w:val="104"/>
        </w:numPr>
        <w:spacing w:line="360" w:lineRule="auto"/>
        <w:ind w:firstLineChars="0"/>
        <w:rPr>
          <w:rFonts w:ascii="仿宋" w:hAnsi="仿宋" w:eastAsia="仿宋" w:cs="仿宋"/>
          <w:sz w:val="24"/>
          <w:szCs w:val="32"/>
        </w:rPr>
      </w:pPr>
      <w:r>
        <w:rPr>
          <w:rFonts w:ascii="仿宋" w:hAnsi="仿宋" w:eastAsia="仿宋" w:cs="仿宋"/>
          <w:sz w:val="24"/>
          <w:szCs w:val="32"/>
        </w:rPr>
        <w:t>手机损坏或丢失后</w:t>
      </w:r>
      <w:r>
        <w:rPr>
          <w:rFonts w:hint="eastAsia" w:ascii="仿宋" w:hAnsi="仿宋" w:eastAsia="仿宋" w:cs="仿宋"/>
          <w:sz w:val="24"/>
          <w:szCs w:val="32"/>
        </w:rPr>
        <w:t>，</w:t>
      </w:r>
      <w:r>
        <w:rPr>
          <w:rFonts w:ascii="仿宋" w:hAnsi="仿宋" w:eastAsia="仿宋" w:cs="仿宋"/>
          <w:sz w:val="24"/>
          <w:szCs w:val="32"/>
        </w:rPr>
        <w:t>应首先向</w:t>
      </w:r>
      <w:r>
        <w:rPr>
          <w:rFonts w:hint="eastAsia" w:ascii="仿宋" w:hAnsi="仿宋" w:eastAsia="仿宋" w:cs="仿宋"/>
          <w:sz w:val="24"/>
          <w:szCs w:val="32"/>
        </w:rPr>
        <w:t>I</w:t>
      </w:r>
      <w:r>
        <w:rPr>
          <w:rFonts w:ascii="仿宋" w:hAnsi="仿宋" w:eastAsia="仿宋" w:cs="仿宋"/>
          <w:sz w:val="24"/>
          <w:szCs w:val="32"/>
        </w:rPr>
        <w:t>T部门或信息安全部门报告</w:t>
      </w:r>
      <w:r>
        <w:rPr>
          <w:rFonts w:hint="eastAsia" w:ascii="仿宋" w:hAnsi="仿宋" w:eastAsia="仿宋" w:cs="仿宋"/>
          <w:sz w:val="24"/>
          <w:szCs w:val="32"/>
        </w:rPr>
        <w:t>。</w:t>
      </w:r>
    </w:p>
    <w:p>
      <w:pPr>
        <w:pStyle w:val="28"/>
        <w:ind w:left="0"/>
        <w:rPr>
          <w:rFonts w:ascii="仿宋" w:hAnsi="仿宋" w:cs="仿宋"/>
          <w:sz w:val="24"/>
        </w:rPr>
      </w:pPr>
      <w:r>
        <w:rPr>
          <w:rFonts w:hint="eastAsia" w:ascii="仿宋" w:hAnsi="仿宋" w:cs="仿宋"/>
          <w:sz w:val="24"/>
        </w:rPr>
        <w:t>安全使用移动存储介质建议</w:t>
      </w:r>
    </w:p>
    <w:p>
      <w:pPr>
        <w:pStyle w:val="36"/>
        <w:numPr>
          <w:ilvl w:val="0"/>
          <w:numId w:val="105"/>
        </w:numPr>
        <w:spacing w:line="360" w:lineRule="auto"/>
        <w:ind w:firstLineChars="0"/>
        <w:rPr>
          <w:rFonts w:ascii="仿宋" w:hAnsi="仿宋" w:eastAsia="仿宋" w:cs="仿宋"/>
          <w:sz w:val="24"/>
          <w:szCs w:val="32"/>
        </w:rPr>
      </w:pPr>
      <w:r>
        <w:rPr>
          <w:rFonts w:hint="eastAsia" w:ascii="仿宋" w:hAnsi="仿宋" w:eastAsia="仿宋" w:cs="仿宋"/>
          <w:sz w:val="24"/>
          <w:szCs w:val="32"/>
        </w:rPr>
        <w:t>尽量减少U盘使用。</w:t>
      </w:r>
    </w:p>
    <w:p>
      <w:pPr>
        <w:pStyle w:val="36"/>
        <w:numPr>
          <w:ilvl w:val="0"/>
          <w:numId w:val="105"/>
        </w:numPr>
        <w:spacing w:line="360" w:lineRule="auto"/>
        <w:ind w:firstLineChars="0"/>
        <w:rPr>
          <w:rFonts w:ascii="仿宋" w:hAnsi="仿宋" w:eastAsia="仿宋" w:cs="仿宋"/>
          <w:sz w:val="24"/>
          <w:szCs w:val="32"/>
        </w:rPr>
      </w:pPr>
      <w:r>
        <w:rPr>
          <w:rFonts w:ascii="仿宋" w:hAnsi="仿宋" w:eastAsia="仿宋" w:cs="仿宋"/>
          <w:sz w:val="24"/>
          <w:szCs w:val="32"/>
        </w:rPr>
        <w:t>每次使用移动介质</w:t>
      </w:r>
      <w:r>
        <w:rPr>
          <w:rFonts w:hint="eastAsia" w:ascii="仿宋" w:hAnsi="仿宋" w:eastAsia="仿宋" w:cs="仿宋"/>
          <w:sz w:val="24"/>
          <w:szCs w:val="32"/>
        </w:rPr>
        <w:t>（移动硬盘或U盘）前应对U盘进行病毒扫描。</w:t>
      </w:r>
    </w:p>
    <w:p>
      <w:pPr>
        <w:pStyle w:val="36"/>
        <w:numPr>
          <w:ilvl w:val="0"/>
          <w:numId w:val="105"/>
        </w:numPr>
        <w:spacing w:line="360" w:lineRule="auto"/>
        <w:ind w:firstLineChars="0"/>
        <w:rPr>
          <w:rFonts w:ascii="仿宋" w:hAnsi="仿宋" w:eastAsia="仿宋" w:cs="仿宋"/>
          <w:sz w:val="24"/>
          <w:szCs w:val="32"/>
        </w:rPr>
      </w:pPr>
      <w:r>
        <w:rPr>
          <w:rFonts w:ascii="仿宋" w:hAnsi="仿宋" w:eastAsia="仿宋" w:cs="仿宋"/>
          <w:sz w:val="24"/>
          <w:szCs w:val="32"/>
        </w:rPr>
        <w:t>移动介质</w:t>
      </w:r>
      <w:r>
        <w:rPr>
          <w:rFonts w:hint="eastAsia" w:ascii="仿宋" w:hAnsi="仿宋" w:eastAsia="仿宋" w:cs="仿宋"/>
          <w:sz w:val="24"/>
          <w:szCs w:val="32"/>
        </w:rPr>
        <w:t>（移动硬盘或U盘）内临时存储的公司敏感数据应及时清除。</w:t>
      </w:r>
    </w:p>
    <w:p>
      <w:pPr>
        <w:pStyle w:val="36"/>
        <w:numPr>
          <w:ilvl w:val="0"/>
          <w:numId w:val="105"/>
        </w:numPr>
        <w:spacing w:line="360" w:lineRule="auto"/>
        <w:ind w:firstLineChars="0"/>
        <w:rPr>
          <w:rFonts w:ascii="仿宋" w:hAnsi="仿宋" w:eastAsia="仿宋" w:cs="仿宋"/>
          <w:sz w:val="24"/>
          <w:szCs w:val="32"/>
        </w:rPr>
      </w:pPr>
      <w:r>
        <w:rPr>
          <w:rFonts w:ascii="仿宋" w:hAnsi="仿宋" w:eastAsia="仿宋" w:cs="仿宋"/>
          <w:sz w:val="24"/>
          <w:szCs w:val="32"/>
        </w:rPr>
        <w:t>移动介质</w:t>
      </w:r>
      <w:r>
        <w:rPr>
          <w:rFonts w:hint="eastAsia" w:ascii="仿宋" w:hAnsi="仿宋" w:eastAsia="仿宋" w:cs="仿宋"/>
          <w:sz w:val="24"/>
          <w:szCs w:val="32"/>
        </w:rPr>
        <w:t>（移动硬盘或U盘）用完及时拔掉，不使用时保存在安全的地方，如带锁的柜子中。</w:t>
      </w:r>
    </w:p>
    <w:p>
      <w:pPr>
        <w:pStyle w:val="28"/>
        <w:ind w:left="0"/>
        <w:rPr>
          <w:rFonts w:ascii="仿宋" w:hAnsi="仿宋" w:cs="仿宋"/>
          <w:sz w:val="24"/>
        </w:rPr>
      </w:pPr>
      <w:r>
        <w:rPr>
          <w:rFonts w:ascii="仿宋" w:hAnsi="仿宋" w:cs="仿宋"/>
          <w:sz w:val="24"/>
        </w:rPr>
        <w:t>密码安全</w:t>
      </w:r>
    </w:p>
    <w:p>
      <w:pPr>
        <w:pStyle w:val="36"/>
        <w:numPr>
          <w:ilvl w:val="0"/>
          <w:numId w:val="106"/>
        </w:numPr>
        <w:spacing w:line="360" w:lineRule="auto"/>
        <w:ind w:firstLineChars="0"/>
        <w:rPr>
          <w:rFonts w:ascii="仿宋" w:hAnsi="仿宋" w:eastAsia="仿宋" w:cs="仿宋"/>
          <w:sz w:val="24"/>
          <w:szCs w:val="32"/>
        </w:rPr>
      </w:pPr>
      <w:r>
        <w:rPr>
          <w:rFonts w:hint="eastAsia" w:ascii="仿宋" w:hAnsi="仿宋" w:eastAsia="仿宋" w:cs="仿宋"/>
          <w:sz w:val="24"/>
          <w:szCs w:val="32"/>
        </w:rPr>
        <w:t>按照《广东乐育尚学科技有限公司信息系统账号及权限管理规范》中的密码设置规则要求，进行密码设置。</w:t>
      </w:r>
    </w:p>
    <w:p>
      <w:pPr>
        <w:pStyle w:val="28"/>
        <w:ind w:left="0"/>
        <w:rPr>
          <w:rFonts w:ascii="仿宋" w:hAnsi="仿宋" w:cs="仿宋"/>
          <w:sz w:val="24"/>
        </w:rPr>
      </w:pPr>
      <w:r>
        <w:rPr>
          <w:rFonts w:ascii="仿宋" w:hAnsi="仿宋" w:cs="仿宋"/>
          <w:sz w:val="24"/>
        </w:rPr>
        <w:t>办公环境中的信息安全</w:t>
      </w:r>
    </w:p>
    <w:p>
      <w:pPr>
        <w:pStyle w:val="36"/>
        <w:numPr>
          <w:ilvl w:val="0"/>
          <w:numId w:val="107"/>
        </w:numPr>
        <w:spacing w:line="360" w:lineRule="auto"/>
        <w:ind w:firstLineChars="0"/>
        <w:rPr>
          <w:rFonts w:ascii="仿宋" w:hAnsi="仿宋" w:eastAsia="仿宋" w:cs="仿宋"/>
          <w:sz w:val="24"/>
          <w:szCs w:val="32"/>
        </w:rPr>
      </w:pPr>
      <w:r>
        <w:rPr>
          <w:rFonts w:hint="eastAsia" w:ascii="仿宋" w:hAnsi="仿宋" w:eastAsia="仿宋" w:cs="仿宋"/>
          <w:sz w:val="24"/>
          <w:szCs w:val="32"/>
        </w:rPr>
        <w:t>应主动防止陌生人尾随进入办公区域。</w:t>
      </w:r>
    </w:p>
    <w:p>
      <w:pPr>
        <w:pStyle w:val="36"/>
        <w:numPr>
          <w:ilvl w:val="0"/>
          <w:numId w:val="107"/>
        </w:numPr>
        <w:spacing w:line="360" w:lineRule="auto"/>
        <w:ind w:firstLineChars="0"/>
        <w:rPr>
          <w:rFonts w:ascii="仿宋" w:hAnsi="仿宋" w:eastAsia="仿宋" w:cs="仿宋"/>
          <w:sz w:val="24"/>
          <w:szCs w:val="32"/>
        </w:rPr>
      </w:pPr>
      <w:r>
        <w:rPr>
          <w:rFonts w:ascii="仿宋" w:hAnsi="仿宋" w:eastAsia="仿宋" w:cs="仿宋"/>
          <w:sz w:val="24"/>
          <w:szCs w:val="32"/>
        </w:rPr>
        <w:t>办公区域内遇到可疑人员应及时向行政部门与前台报告</w:t>
      </w:r>
      <w:r>
        <w:rPr>
          <w:rFonts w:hint="eastAsia" w:ascii="仿宋" w:hAnsi="仿宋" w:eastAsia="仿宋" w:cs="仿宋"/>
          <w:sz w:val="24"/>
          <w:szCs w:val="32"/>
        </w:rPr>
        <w:t>。</w:t>
      </w:r>
    </w:p>
    <w:p>
      <w:pPr>
        <w:pStyle w:val="36"/>
        <w:numPr>
          <w:ilvl w:val="0"/>
          <w:numId w:val="107"/>
        </w:numPr>
        <w:spacing w:line="360" w:lineRule="auto"/>
        <w:ind w:firstLineChars="0"/>
        <w:rPr>
          <w:rFonts w:ascii="仿宋" w:hAnsi="仿宋" w:eastAsia="仿宋" w:cs="仿宋"/>
          <w:sz w:val="24"/>
          <w:szCs w:val="32"/>
        </w:rPr>
      </w:pPr>
      <w:r>
        <w:rPr>
          <w:rFonts w:hint="eastAsia" w:ascii="仿宋" w:hAnsi="仿宋" w:eastAsia="仿宋" w:cs="仿宋"/>
          <w:sz w:val="24"/>
          <w:szCs w:val="32"/>
        </w:rPr>
        <w:t>应将复印或打印的资料及时取走。</w:t>
      </w:r>
    </w:p>
    <w:p>
      <w:pPr>
        <w:pStyle w:val="36"/>
        <w:numPr>
          <w:ilvl w:val="0"/>
          <w:numId w:val="107"/>
        </w:numPr>
        <w:spacing w:line="360" w:lineRule="auto"/>
        <w:ind w:firstLineChars="0"/>
        <w:rPr>
          <w:rFonts w:ascii="仿宋" w:hAnsi="仿宋" w:eastAsia="仿宋" w:cs="仿宋"/>
          <w:sz w:val="24"/>
          <w:szCs w:val="32"/>
        </w:rPr>
      </w:pPr>
      <w:r>
        <w:rPr>
          <w:rFonts w:ascii="仿宋" w:hAnsi="仿宋" w:eastAsia="仿宋" w:cs="仿宋"/>
          <w:sz w:val="24"/>
          <w:szCs w:val="32"/>
        </w:rPr>
        <w:t>离开座位时</w:t>
      </w:r>
      <w:r>
        <w:rPr>
          <w:rFonts w:hint="eastAsia" w:ascii="仿宋" w:hAnsi="仿宋" w:eastAsia="仿宋" w:cs="仿宋"/>
          <w:sz w:val="24"/>
          <w:szCs w:val="32"/>
        </w:rPr>
        <w:t>，</w:t>
      </w:r>
      <w:r>
        <w:rPr>
          <w:rFonts w:ascii="仿宋" w:hAnsi="仿宋" w:eastAsia="仿宋" w:cs="仿宋"/>
          <w:sz w:val="24"/>
          <w:szCs w:val="32"/>
        </w:rPr>
        <w:t>应将贵重物品</w:t>
      </w:r>
      <w:r>
        <w:rPr>
          <w:rFonts w:hint="eastAsia" w:ascii="仿宋" w:hAnsi="仿宋" w:eastAsia="仿宋" w:cs="仿宋"/>
          <w:sz w:val="24"/>
          <w:szCs w:val="32"/>
        </w:rPr>
        <w:t>、</w:t>
      </w:r>
      <w:r>
        <w:rPr>
          <w:rFonts w:ascii="仿宋" w:hAnsi="仿宋" w:eastAsia="仿宋" w:cs="仿宋"/>
          <w:sz w:val="24"/>
          <w:szCs w:val="32"/>
        </w:rPr>
        <w:t>含有敏感信息的资料锁入柜中</w:t>
      </w:r>
      <w:r>
        <w:rPr>
          <w:rFonts w:hint="eastAsia" w:ascii="仿宋" w:hAnsi="仿宋" w:eastAsia="仿宋" w:cs="仿宋"/>
          <w:sz w:val="24"/>
          <w:szCs w:val="32"/>
        </w:rPr>
        <w:t>，</w:t>
      </w:r>
      <w:r>
        <w:rPr>
          <w:rFonts w:ascii="仿宋" w:hAnsi="仿宋" w:eastAsia="仿宋" w:cs="仿宋"/>
          <w:sz w:val="24"/>
          <w:szCs w:val="32"/>
        </w:rPr>
        <w:t>并妥善保管钥匙</w:t>
      </w:r>
      <w:r>
        <w:rPr>
          <w:rFonts w:hint="eastAsia" w:ascii="仿宋" w:hAnsi="仿宋" w:eastAsia="仿宋" w:cs="仿宋"/>
          <w:sz w:val="24"/>
          <w:szCs w:val="32"/>
        </w:rPr>
        <w:t>。</w:t>
      </w:r>
    </w:p>
    <w:p>
      <w:pPr>
        <w:pStyle w:val="36"/>
        <w:numPr>
          <w:ilvl w:val="0"/>
          <w:numId w:val="107"/>
        </w:numPr>
        <w:spacing w:line="360" w:lineRule="auto"/>
        <w:ind w:firstLineChars="0"/>
        <w:rPr>
          <w:rFonts w:ascii="仿宋" w:hAnsi="仿宋" w:eastAsia="仿宋" w:cs="仿宋"/>
          <w:sz w:val="24"/>
          <w:szCs w:val="32"/>
        </w:rPr>
      </w:pPr>
      <w:r>
        <w:rPr>
          <w:rFonts w:ascii="仿宋" w:hAnsi="仿宋" w:eastAsia="仿宋" w:cs="仿宋"/>
          <w:sz w:val="24"/>
          <w:szCs w:val="32"/>
        </w:rPr>
        <w:t>处理纸质上含有公司</w:t>
      </w:r>
      <w:r>
        <w:rPr>
          <w:rFonts w:hint="eastAsia" w:ascii="仿宋" w:hAnsi="仿宋" w:eastAsia="仿宋" w:cs="仿宋"/>
          <w:sz w:val="24"/>
          <w:szCs w:val="32"/>
        </w:rPr>
        <w:t>C</w:t>
      </w:r>
      <w:r>
        <w:rPr>
          <w:rFonts w:ascii="仿宋" w:hAnsi="仿宋" w:eastAsia="仿宋" w:cs="仿宋"/>
          <w:sz w:val="24"/>
          <w:szCs w:val="32"/>
        </w:rPr>
        <w:t>3及以上级别的数据时</w:t>
      </w:r>
      <w:r>
        <w:rPr>
          <w:rFonts w:hint="eastAsia" w:ascii="仿宋" w:hAnsi="仿宋" w:eastAsia="仿宋" w:cs="仿宋"/>
          <w:sz w:val="24"/>
          <w:szCs w:val="32"/>
        </w:rPr>
        <w:t>，</w:t>
      </w:r>
      <w:r>
        <w:rPr>
          <w:rFonts w:ascii="仿宋" w:hAnsi="仿宋" w:eastAsia="仿宋" w:cs="仿宋"/>
          <w:sz w:val="24"/>
          <w:szCs w:val="32"/>
        </w:rPr>
        <w:t>请使用碎纸机或交至公司统一进行回收</w:t>
      </w:r>
      <w:r>
        <w:rPr>
          <w:rFonts w:hint="eastAsia" w:ascii="仿宋" w:hAnsi="仿宋" w:eastAsia="仿宋" w:cs="仿宋"/>
          <w:sz w:val="24"/>
          <w:szCs w:val="32"/>
        </w:rPr>
        <w:t>。</w:t>
      </w:r>
    </w:p>
    <w:p>
      <w:pPr>
        <w:pStyle w:val="36"/>
        <w:numPr>
          <w:ilvl w:val="0"/>
          <w:numId w:val="107"/>
        </w:numPr>
        <w:spacing w:line="360" w:lineRule="auto"/>
        <w:ind w:firstLineChars="0"/>
        <w:rPr>
          <w:rFonts w:ascii="仿宋" w:hAnsi="仿宋" w:eastAsia="仿宋" w:cs="仿宋"/>
          <w:sz w:val="24"/>
          <w:szCs w:val="32"/>
        </w:rPr>
      </w:pPr>
      <w:r>
        <w:rPr>
          <w:rFonts w:hint="eastAsia" w:ascii="仿宋" w:hAnsi="仿宋" w:eastAsia="仿宋" w:cs="仿宋"/>
          <w:sz w:val="24"/>
          <w:szCs w:val="32"/>
        </w:rPr>
        <w:t>会议结束后，请及时清除会议室白板及其它类似设备上的信息。</w:t>
      </w:r>
    </w:p>
    <w:p>
      <w:pPr>
        <w:pStyle w:val="36"/>
        <w:spacing w:line="360" w:lineRule="auto"/>
        <w:ind w:left="1200" w:firstLine="0" w:firstLineChars="0"/>
        <w:rPr>
          <w:rFonts w:ascii="仿宋" w:hAnsi="仿宋" w:eastAsia="仿宋" w:cs="仿宋"/>
          <w:sz w:val="24"/>
          <w:szCs w:val="32"/>
        </w:rPr>
        <w:sectPr>
          <w:pgSz w:w="11906" w:h="16838"/>
          <w:pgMar w:top="720" w:right="720" w:bottom="720" w:left="720" w:header="851" w:footer="992" w:gutter="0"/>
          <w:cols w:space="425" w:num="1"/>
          <w:docGrid w:type="lines" w:linePitch="312" w:charSpace="0"/>
        </w:sectPr>
      </w:pPr>
    </w:p>
    <w:p>
      <w:pPr>
        <w:pStyle w:val="36"/>
        <w:spacing w:line="360" w:lineRule="auto"/>
        <w:ind w:left="1200" w:firstLine="0" w:firstLineChars="0"/>
        <w:rPr>
          <w:rFonts w:ascii="仿宋" w:hAnsi="仿宋" w:eastAsia="仿宋" w:cs="仿宋"/>
          <w:sz w:val="24"/>
          <w:szCs w:val="32"/>
        </w:rPr>
      </w:pPr>
    </w:p>
    <w:p>
      <w:pPr>
        <w:pStyle w:val="5"/>
        <w:numPr>
          <w:ilvl w:val="0"/>
          <w:numId w:val="3"/>
        </w:numPr>
        <w:jc w:val="center"/>
        <w:rPr>
          <w:rFonts w:hint="default" w:ascii="仿宋" w:hAnsi="仿宋" w:eastAsia="仿宋"/>
          <w:sz w:val="28"/>
          <w:szCs w:val="28"/>
        </w:rPr>
      </w:pPr>
      <w:r>
        <w:rPr>
          <w:rFonts w:ascii="仿宋" w:hAnsi="仿宋" w:eastAsia="仿宋"/>
          <w:sz w:val="28"/>
          <w:szCs w:val="28"/>
        </w:rPr>
        <w:t>咨询与疑问</w:t>
      </w:r>
    </w:p>
    <w:p>
      <w:pPr>
        <w:pStyle w:val="28"/>
        <w:ind w:left="0"/>
        <w:rPr>
          <w:rFonts w:ascii="仿宋" w:hAnsi="仿宋" w:cs="仿宋"/>
          <w:sz w:val="24"/>
        </w:rPr>
      </w:pPr>
      <w:r>
        <w:rPr>
          <w:rFonts w:hint="eastAsia" w:ascii="仿宋" w:hAnsi="仿宋" w:cs="仿宋"/>
          <w:sz w:val="24"/>
        </w:rPr>
        <w:t>如果员工自身对本制度提到的事项产生疑问，</w:t>
      </w:r>
      <w:r>
        <w:rPr>
          <w:rFonts w:ascii="仿宋" w:hAnsi="仿宋" w:cs="仿宋"/>
          <w:sz w:val="24"/>
        </w:rPr>
        <w:t xml:space="preserve"> 或在执行落实过程遇到各类问题，可通过</w:t>
      </w:r>
      <w:r>
        <w:rPr>
          <w:rFonts w:hint="eastAsia" w:ascii="仿宋" w:hAnsi="仿宋" w:cs="仿宋"/>
          <w:sz w:val="24"/>
        </w:rPr>
        <w:t>公司</w:t>
      </w:r>
      <w:r>
        <w:rPr>
          <w:rFonts w:ascii="仿宋" w:hAnsi="仿宋" w:cs="仿宋"/>
          <w:sz w:val="24"/>
        </w:rPr>
        <w:t>数据安全管理小组邮箱</w:t>
      </w:r>
      <w:r>
        <w:rPr>
          <w:rFonts w:hint="eastAsia" w:ascii="仿宋" w:hAnsi="仿宋" w:cs="仿宋"/>
          <w:sz w:val="24"/>
        </w:rPr>
        <w:t>咨询。</w:t>
      </w:r>
      <w:r>
        <w:rPr>
          <w:rFonts w:ascii="仿宋" w:hAnsi="仿宋" w:cs="仿宋"/>
          <w:sz w:val="24"/>
        </w:rPr>
        <w:t xml:space="preserve"> </w:t>
      </w:r>
    </w:p>
    <w:p>
      <w:pPr>
        <w:widowControl/>
        <w:spacing w:line="360" w:lineRule="auto"/>
        <w:jc w:val="left"/>
        <w:rPr>
          <w:rFonts w:ascii="仿宋" w:hAnsi="仿宋" w:eastAsia="仿宋" w:cs="仿宋"/>
          <w:b/>
          <w:color w:val="000000"/>
          <w:kern w:val="0"/>
          <w:sz w:val="24"/>
          <w:lang w:bidi="ar"/>
        </w:rPr>
      </w:pPr>
    </w:p>
    <w:p>
      <w:pPr>
        <w:pStyle w:val="5"/>
        <w:numPr>
          <w:ilvl w:val="0"/>
          <w:numId w:val="3"/>
        </w:numPr>
        <w:jc w:val="center"/>
        <w:rPr>
          <w:rFonts w:hint="default" w:ascii="仿宋" w:hAnsi="仿宋" w:eastAsia="仿宋"/>
          <w:sz w:val="28"/>
          <w:szCs w:val="28"/>
        </w:rPr>
      </w:pPr>
      <w:r>
        <w:rPr>
          <w:rFonts w:ascii="仿宋" w:hAnsi="仿宋" w:eastAsia="仿宋"/>
          <w:sz w:val="28"/>
          <w:szCs w:val="28"/>
        </w:rPr>
        <w:t>违规处罚措施</w:t>
      </w:r>
    </w:p>
    <w:p>
      <w:pPr>
        <w:pStyle w:val="28"/>
        <w:ind w:left="0"/>
        <w:rPr>
          <w:rFonts w:ascii="仿宋" w:hAnsi="仿宋" w:cs="仿宋"/>
          <w:sz w:val="24"/>
        </w:rPr>
      </w:pPr>
      <w:r>
        <w:rPr>
          <w:rFonts w:hint="eastAsia" w:ascii="仿宋" w:hAnsi="仿宋" w:cs="仿宋"/>
          <w:sz w:val="24"/>
        </w:rPr>
        <w:t>公司禁止违反本制度的行为，鼓励员工举报各类泄漏</w:t>
      </w:r>
      <w:r>
        <w:rPr>
          <w:rFonts w:ascii="仿宋" w:hAnsi="仿宋" w:cs="仿宋"/>
          <w:sz w:val="24"/>
        </w:rPr>
        <w:t xml:space="preserve"> C2、C3、C4 级数据的行为。 </w:t>
      </w:r>
    </w:p>
    <w:p>
      <w:pPr>
        <w:pStyle w:val="28"/>
        <w:ind w:left="0"/>
        <w:rPr>
          <w:rFonts w:ascii="仿宋" w:hAnsi="仿宋" w:cs="仿宋"/>
          <w:sz w:val="24"/>
        </w:rPr>
      </w:pPr>
      <w:r>
        <w:rPr>
          <w:rFonts w:hint="eastAsia" w:ascii="仿宋" w:hAnsi="仿宋" w:cs="仿宋"/>
          <w:sz w:val="24"/>
        </w:rPr>
        <w:t>公司将严厉处罚违反本制度而导致泄漏数据的行为。造成公司数据泄露或存在泄露隐患的，视情节轻重，予以违规者和其直接管理者相应处罚。</w:t>
      </w:r>
      <w:r>
        <w:rPr>
          <w:rFonts w:ascii="仿宋" w:hAnsi="仿宋" w:cs="仿宋"/>
          <w:sz w:val="24"/>
        </w:rPr>
        <w:t xml:space="preserve"> </w:t>
      </w:r>
    </w:p>
    <w:p>
      <w:pPr>
        <w:pStyle w:val="28"/>
        <w:ind w:left="0"/>
        <w:rPr>
          <w:rFonts w:ascii="仿宋" w:hAnsi="仿宋" w:cs="仿宋"/>
          <w:sz w:val="24"/>
        </w:rPr>
      </w:pPr>
      <w:r>
        <w:rPr>
          <w:rFonts w:hint="eastAsia" w:ascii="仿宋" w:hAnsi="仿宋" w:cs="仿宋"/>
          <w:sz w:val="24"/>
        </w:rPr>
        <w:t>针对情节特别严重的，上报公安机关予以追究刑事责任。</w:t>
      </w:r>
    </w:p>
    <w:p>
      <w:pPr>
        <w:pStyle w:val="28"/>
        <w:ind w:left="0"/>
        <w:rPr>
          <w:rFonts w:ascii="仿宋" w:hAnsi="仿宋" w:cs="仿宋"/>
          <w:sz w:val="24"/>
        </w:rPr>
      </w:pPr>
      <w:r>
        <w:rPr>
          <w:rFonts w:hint="eastAsia" w:ascii="仿宋" w:hAnsi="仿宋" w:cs="仿宋"/>
          <w:sz w:val="24"/>
        </w:rPr>
        <w:t>处罚原则及处罚措施同时参考</w:t>
      </w:r>
      <w:r>
        <w:rPr>
          <w:rFonts w:ascii="仿宋" w:hAnsi="仿宋" w:cs="仿宋"/>
          <w:sz w:val="24"/>
        </w:rPr>
        <w:t>《</w:t>
      </w:r>
      <w:r>
        <w:rPr>
          <w:rFonts w:hint="eastAsia" w:ascii="仿宋" w:hAnsi="仿宋" w:cs="仿宋"/>
          <w:sz w:val="24"/>
        </w:rPr>
        <w:t>广东乐育尚学科技有限公司违规管理制度</w:t>
      </w:r>
      <w:r>
        <w:rPr>
          <w:rFonts w:ascii="仿宋" w:hAnsi="仿宋" w:cs="仿宋"/>
          <w:sz w:val="24"/>
        </w:rPr>
        <w:t xml:space="preserve">》 </w:t>
      </w:r>
    </w:p>
    <w:p>
      <w:pPr>
        <w:widowControl/>
        <w:spacing w:line="360" w:lineRule="auto"/>
        <w:jc w:val="center"/>
        <w:rPr>
          <w:rFonts w:ascii="仿宋" w:hAnsi="仿宋" w:eastAsia="仿宋" w:cs="仿宋"/>
          <w:b/>
          <w:color w:val="000000"/>
          <w:kern w:val="0"/>
          <w:sz w:val="24"/>
          <w:lang w:bidi="ar"/>
        </w:rPr>
      </w:pPr>
    </w:p>
    <w:p>
      <w:pPr>
        <w:spacing w:before="156" w:beforeLines="50" w:after="156" w:afterLines="50" w:line="360" w:lineRule="auto"/>
        <w:jc w:val="left"/>
        <w:rPr>
          <w:rFonts w:ascii="仿宋" w:hAnsi="仿宋" w:eastAsia="仿宋" w:cs="仿宋"/>
          <w:b/>
          <w:color w:val="333333"/>
          <w:sz w:val="24"/>
        </w:rPr>
        <w:sectPr>
          <w:pgSz w:w="11906" w:h="16838"/>
          <w:pgMar w:top="720" w:right="720" w:bottom="720" w:left="720" w:header="851" w:footer="992" w:gutter="0"/>
          <w:cols w:space="425" w:num="1"/>
          <w:docGrid w:type="lines" w:linePitch="312" w:charSpace="0"/>
        </w:sectPr>
      </w:pPr>
    </w:p>
    <w:p>
      <w:pPr>
        <w:spacing w:before="156" w:beforeLines="50" w:after="156" w:afterLines="50" w:line="360" w:lineRule="auto"/>
        <w:jc w:val="left"/>
        <w:rPr>
          <w:rFonts w:ascii="仿宋" w:hAnsi="仿宋" w:eastAsia="仿宋" w:cs="仿宋"/>
          <w:b/>
          <w:color w:val="333333"/>
          <w:sz w:val="24"/>
        </w:rPr>
      </w:pPr>
      <w:r>
        <w:rPr>
          <w:rFonts w:ascii="仿宋" w:hAnsi="仿宋" w:eastAsia="仿宋" w:cs="仿宋"/>
          <w:b/>
          <w:color w:val="333333"/>
          <w:sz w:val="24"/>
        </w:rPr>
        <w:t>附件一 个人信息</w:t>
      </w:r>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个人信息是指以电子或者其他方式记录的能够单独或者与其他信息结合识别特定自然人身份或者反映特定自然人活动情况的各种信息，如姓名、出生日期、身份证件号码、个人生物识别信息、住址、通信通讯联系方式、通信记录和内容、账号密码、财产信息、征信信息、行踪轨迹、住宿信息、健康生理信息、交易信息等。</w:t>
      </w:r>
      <w:r>
        <w:rPr>
          <w:rFonts w:ascii="仿宋" w:hAnsi="仿宋" w:eastAsia="仿宋" w:cs="仿宋"/>
          <w:color w:val="333333"/>
          <w:sz w:val="24"/>
        </w:rPr>
        <w:t xml:space="preserve"> </w:t>
      </w:r>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判定某项信息是否属于个人信息，应考虑以下两条路径：一是识别，即从信息到个人，由信息本身的特殊性识别出特定自然人，个人信息应有助于识别出特定个人。二是关联，即从个人到信息，如已知特定自然人，由该特定自然人在其活动中产生的信息（如个人位置信息、个人通话记录、个人浏览记录等）即为个人信息。符合上述两种情形之一的信息，均应判定为个人信息。个人信息举例参考表</w:t>
      </w:r>
      <w:r>
        <w:rPr>
          <w:rFonts w:ascii="仿宋" w:hAnsi="仿宋" w:eastAsia="仿宋" w:cs="仿宋"/>
          <w:color w:val="333333"/>
          <w:sz w:val="24"/>
        </w:rPr>
        <w:t>A.1</w:t>
      </w:r>
      <w:r>
        <w:rPr>
          <w:rFonts w:hint="eastAsia" w:ascii="仿宋" w:hAnsi="仿宋" w:eastAsia="仿宋" w:cs="仿宋"/>
          <w:color w:val="333333"/>
          <w:sz w:val="24"/>
        </w:rPr>
        <w:t>。</w:t>
      </w:r>
    </w:p>
    <w:p>
      <w:pPr>
        <w:pStyle w:val="9"/>
        <w:tabs>
          <w:tab w:val="left" w:pos="772"/>
        </w:tabs>
        <w:spacing w:before="106" w:line="360" w:lineRule="auto"/>
        <w:ind w:right="805"/>
        <w:jc w:val="center"/>
        <w:rPr>
          <w:rFonts w:ascii="仿宋" w:hAnsi="仿宋" w:eastAsia="仿宋" w:cs="仿宋"/>
          <w:sz w:val="24"/>
          <w:szCs w:val="24"/>
        </w:rPr>
      </w:pPr>
      <w:r>
        <w:rPr>
          <w:rFonts w:hint="eastAsia" w:ascii="仿宋" w:hAnsi="仿宋" w:eastAsia="仿宋" w:cs="仿宋"/>
          <w:sz w:val="24"/>
          <w:szCs w:val="24"/>
        </w:rPr>
        <w:t>表</w:t>
      </w:r>
      <w:r>
        <w:rPr>
          <w:rFonts w:ascii="仿宋" w:hAnsi="仿宋" w:eastAsia="仿宋" w:cs="仿宋"/>
          <w:sz w:val="24"/>
          <w:szCs w:val="24"/>
        </w:rPr>
        <w:t>A.1</w:t>
      </w:r>
      <w:r>
        <w:rPr>
          <w:rFonts w:ascii="仿宋" w:hAnsi="仿宋" w:eastAsia="仿宋" w:cs="仿宋"/>
          <w:sz w:val="24"/>
          <w:szCs w:val="24"/>
        </w:rPr>
        <w:tab/>
      </w:r>
      <w:r>
        <w:rPr>
          <w:rFonts w:hint="eastAsia" w:ascii="仿宋" w:hAnsi="仿宋" w:eastAsia="仿宋" w:cs="仿宋"/>
          <w:spacing w:val="-3"/>
          <w:sz w:val="24"/>
          <w:szCs w:val="24"/>
        </w:rPr>
        <w:t>个</w:t>
      </w:r>
      <w:r>
        <w:rPr>
          <w:rFonts w:hint="eastAsia" w:ascii="仿宋" w:hAnsi="仿宋" w:eastAsia="仿宋" w:cs="仿宋"/>
          <w:sz w:val="24"/>
          <w:szCs w:val="24"/>
        </w:rPr>
        <w:t>人信</w:t>
      </w:r>
      <w:r>
        <w:rPr>
          <w:rFonts w:hint="eastAsia" w:ascii="仿宋" w:hAnsi="仿宋" w:eastAsia="仿宋" w:cs="仿宋"/>
          <w:spacing w:val="-3"/>
          <w:sz w:val="24"/>
          <w:szCs w:val="24"/>
        </w:rPr>
        <w:t>息</w:t>
      </w:r>
      <w:r>
        <w:rPr>
          <w:rFonts w:hint="eastAsia" w:ascii="仿宋" w:hAnsi="仿宋" w:eastAsia="仿宋" w:cs="仿宋"/>
          <w:sz w:val="24"/>
          <w:szCs w:val="24"/>
        </w:rPr>
        <w:t>举例</w:t>
      </w:r>
    </w:p>
    <w:tbl>
      <w:tblPr>
        <w:tblStyle w:val="17"/>
        <w:tblW w:w="10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2"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个人基本资料</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个人姓名、生日、性别、民族、国籍、家庭关系、住址、个人电话号码、电子邮件地址等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个人身份信息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身份证、军官证、护照、驾驶证、工作证、出入证、社保卡、居住证等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个人生物识别信息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个人基因、指纹、声纹、掌纹、耳廓、虹膜、面部识别特征等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6"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网络身份标识信息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个人信息主体账号、</w:t>
            </w:r>
            <w:r>
              <w:rPr>
                <w:rFonts w:ascii="仿宋" w:hAnsi="仿宋" w:eastAsia="仿宋" w:cs="仿宋"/>
                <w:color w:val="000000"/>
                <w:kern w:val="0"/>
                <w:sz w:val="24"/>
              </w:rPr>
              <w:t xml:space="preserve">IP </w:t>
            </w:r>
            <w:r>
              <w:rPr>
                <w:rFonts w:hint="eastAsia" w:ascii="仿宋" w:hAnsi="仿宋" w:eastAsia="仿宋" w:cs="仿宋"/>
                <w:color w:val="000000"/>
                <w:kern w:val="0"/>
                <w:sz w:val="24"/>
              </w:rPr>
              <w:t>地址、个人数字证书、微信账户、支付宝账户、微博账户、淘宝账户等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2"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个人健康生理信息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个人因生病医治等产生的相关记录，如病症、住院志、医嘱单、检验报告、手术及麻醉记录、</w:t>
            </w:r>
          </w:p>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护理记录、用药记录、药物食物过敏信息、生育信息、以往病史、诊治情况、家族病史、</w:t>
            </w:r>
          </w:p>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现病史、传染病史等，以及与个人身体健康状况相关的信息，如体重、身高、肺活量等。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7"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个人教育工作信息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个人职业、职位、工作单位、学历、学位、教育经历、工作经历、培训记录、成绩单等。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4"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个人财产信息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银行账户、鉴别信息</w:t>
            </w:r>
            <w:r>
              <w:rPr>
                <w:rFonts w:ascii="仿宋" w:hAnsi="仿宋" w:eastAsia="仿宋" w:cs="仿宋"/>
                <w:color w:val="000000"/>
                <w:kern w:val="0"/>
                <w:sz w:val="24"/>
              </w:rPr>
              <w:t>(</w:t>
            </w:r>
            <w:r>
              <w:rPr>
                <w:rFonts w:hint="eastAsia" w:ascii="仿宋" w:hAnsi="仿宋" w:eastAsia="仿宋" w:cs="仿宋"/>
                <w:color w:val="000000"/>
                <w:kern w:val="0"/>
                <w:sz w:val="24"/>
              </w:rPr>
              <w:t>口令</w:t>
            </w:r>
            <w:r>
              <w:rPr>
                <w:rFonts w:ascii="仿宋" w:hAnsi="仿宋" w:eastAsia="仿宋" w:cs="仿宋"/>
                <w:color w:val="000000"/>
                <w:kern w:val="0"/>
                <w:sz w:val="24"/>
              </w:rPr>
              <w:t>)</w:t>
            </w:r>
            <w:r>
              <w:rPr>
                <w:rFonts w:hint="eastAsia" w:ascii="仿宋" w:hAnsi="仿宋" w:eastAsia="仿宋" w:cs="仿宋"/>
                <w:color w:val="000000"/>
                <w:kern w:val="0"/>
                <w:sz w:val="24"/>
              </w:rPr>
              <w:t>、存款信息（包括资金数量、支付收款记录等）、房产信息、</w:t>
            </w:r>
          </w:p>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信贷记录、征信信息、交易和消费记录、流水记录等，以及虚拟货币、虚拟交易、游戏类兑</w:t>
            </w:r>
          </w:p>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换码等虚拟财产信息。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4"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个人通信信息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通信记录和内容、短信、彩信、电子邮件，以及描述个人通信的数据（通常称为元数据）等。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7"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联系人信息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通讯录、好友列表、群列表、电子邮件地址列表等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5"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个人上网记录</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指通过日志储存的个人信息主体操作记录，包括网站浏览记录、软件使用记录、点击记录、收藏列表等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69"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个人常用设备信息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指包括硬件S</w:t>
            </w:r>
            <w:r>
              <w:rPr>
                <w:rFonts w:ascii="仿宋" w:hAnsi="仿宋" w:eastAsia="仿宋" w:cs="仿宋"/>
                <w:color w:val="000000"/>
                <w:kern w:val="0"/>
                <w:sz w:val="24"/>
              </w:rPr>
              <w:t>N</w:t>
            </w:r>
            <w:r>
              <w:rPr>
                <w:rFonts w:hint="eastAsia" w:ascii="仿宋" w:hAnsi="仿宋" w:eastAsia="仿宋" w:cs="仿宋"/>
                <w:color w:val="000000"/>
                <w:kern w:val="0"/>
                <w:sz w:val="24"/>
              </w:rPr>
              <w:t>序列号、设备</w:t>
            </w:r>
            <w:r>
              <w:rPr>
                <w:rFonts w:ascii="仿宋" w:hAnsi="仿宋" w:eastAsia="仿宋" w:cs="仿宋"/>
                <w:color w:val="000000"/>
                <w:kern w:val="0"/>
                <w:sz w:val="24"/>
              </w:rPr>
              <w:t>MAC</w:t>
            </w:r>
            <w:r>
              <w:rPr>
                <w:rFonts w:hint="eastAsia" w:ascii="仿宋" w:hAnsi="仿宋" w:eastAsia="仿宋" w:cs="仿宋"/>
                <w:color w:val="000000"/>
                <w:kern w:val="0"/>
                <w:sz w:val="24"/>
              </w:rPr>
              <w:t>地址、软件列表、唯一设备识别码（如</w:t>
            </w:r>
            <w:r>
              <w:rPr>
                <w:rFonts w:ascii="仿宋" w:hAnsi="仿宋" w:eastAsia="仿宋" w:cs="仿宋"/>
                <w:color w:val="000000"/>
                <w:kern w:val="0"/>
                <w:sz w:val="24"/>
              </w:rPr>
              <w:t>IMEI/Android ID/IDFA/OpenUDID/GUID/SIM</w:t>
            </w:r>
            <w:r>
              <w:rPr>
                <w:rFonts w:hint="eastAsia" w:ascii="仿宋" w:hAnsi="仿宋" w:eastAsia="仿宋" w:cs="仿宋"/>
                <w:color w:val="000000"/>
                <w:kern w:val="0"/>
                <w:sz w:val="24"/>
              </w:rPr>
              <w:t>卡</w:t>
            </w:r>
            <w:r>
              <w:rPr>
                <w:rFonts w:ascii="仿宋" w:hAnsi="仿宋" w:eastAsia="仿宋" w:cs="仿宋"/>
                <w:color w:val="000000"/>
                <w:kern w:val="0"/>
                <w:sz w:val="24"/>
              </w:rPr>
              <w:t>IMSI</w:t>
            </w:r>
            <w:r>
              <w:rPr>
                <w:rFonts w:hint="eastAsia" w:ascii="仿宋" w:hAnsi="仿宋" w:eastAsia="仿宋" w:cs="仿宋"/>
                <w:color w:val="000000"/>
                <w:kern w:val="0"/>
                <w:sz w:val="24"/>
              </w:rPr>
              <w:t>信息等）等在内的描述个人常用设备基本情况的信息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3"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个人位置信息</w:t>
            </w:r>
          </w:p>
        </w:tc>
        <w:tc>
          <w:tcPr>
            <w:tcW w:w="8364"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包括行踪轨迹、精准定位信息、住宿信息、经纬度等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3" w:hRule="atLeast"/>
        </w:trPr>
        <w:tc>
          <w:tcPr>
            <w:tcW w:w="2376"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其他信息</w:t>
            </w:r>
          </w:p>
        </w:tc>
        <w:tc>
          <w:tcPr>
            <w:tcW w:w="8364" w:type="dxa"/>
          </w:tcPr>
          <w:p>
            <w:pPr>
              <w:autoSpaceDE w:val="0"/>
              <w:autoSpaceDN w:val="0"/>
              <w:adjustRightInd w:val="0"/>
              <w:jc w:val="left"/>
              <w:rPr>
                <w:rFonts w:ascii="仿宋" w:hAnsi="仿宋" w:eastAsia="仿宋" w:cs="仿宋"/>
                <w:color w:val="000000"/>
                <w:kern w:val="0"/>
                <w:sz w:val="24"/>
              </w:rPr>
            </w:pPr>
            <w:r>
              <w:rPr>
                <w:rFonts w:hint="eastAsia" w:ascii="仿宋" w:hAnsi="仿宋" w:eastAsia="仿宋" w:cs="仿宋"/>
                <w:color w:val="000000"/>
                <w:kern w:val="0"/>
                <w:sz w:val="24"/>
              </w:rPr>
              <w:t>婚史、宗教信仰、性取向、未公开的违法犯罪记录、用户画像或特征标签、家庭成员信息（包含关系码、成员姓名、出生年月、民族码、国籍</w:t>
            </w:r>
            <w:r>
              <w:rPr>
                <w:rFonts w:ascii="仿宋" w:hAnsi="仿宋" w:eastAsia="仿宋" w:cs="仿宋"/>
                <w:color w:val="000000"/>
                <w:kern w:val="0"/>
                <w:sz w:val="24"/>
              </w:rPr>
              <w:t>/</w:t>
            </w:r>
            <w:r>
              <w:rPr>
                <w:rFonts w:hint="eastAsia" w:ascii="仿宋" w:hAnsi="仿宋" w:eastAsia="仿宋" w:cs="仿宋"/>
                <w:color w:val="000000"/>
                <w:kern w:val="0"/>
                <w:sz w:val="24"/>
              </w:rPr>
              <w:t>地区码、健康状况码、成员工作单位、从业码、专业技术职务码、职务级别码十个个人信息，以及电话、电子信箱两个个人敏感信息）等</w:t>
            </w:r>
          </w:p>
        </w:tc>
      </w:tr>
    </w:tbl>
    <w:p>
      <w:pPr>
        <w:spacing w:before="156" w:beforeLines="50" w:after="156" w:afterLines="50" w:line="360" w:lineRule="auto"/>
        <w:jc w:val="left"/>
        <w:rPr>
          <w:rFonts w:ascii="仿宋" w:hAnsi="仿宋" w:eastAsia="仿宋" w:cs="仿宋"/>
          <w:color w:val="333333"/>
          <w:sz w:val="24"/>
        </w:rPr>
      </w:pPr>
      <w:r>
        <w:rPr>
          <w:rFonts w:ascii="仿宋" w:hAnsi="仿宋" w:eastAsia="仿宋" w:cs="仿宋"/>
          <w:sz w:val="24"/>
        </w:rPr>
        <w:t>参考来源</w:t>
      </w:r>
      <w:r>
        <w:rPr>
          <w:rFonts w:hint="eastAsia" w:ascii="仿宋" w:hAnsi="仿宋" w:eastAsia="仿宋" w:cs="仿宋"/>
          <w:sz w:val="24"/>
        </w:rPr>
        <w:t>：</w:t>
      </w:r>
      <w:r>
        <w:rPr>
          <w:rFonts w:hint="eastAsia" w:ascii="仿宋" w:hAnsi="仿宋" w:eastAsia="仿宋" w:cs="仿宋"/>
          <w:color w:val="333333"/>
          <w:sz w:val="24"/>
        </w:rPr>
        <w:t>《</w:t>
      </w:r>
      <w:r>
        <w:rPr>
          <w:rFonts w:ascii="仿宋" w:hAnsi="仿宋" w:eastAsia="仿宋" w:cs="仿宋"/>
          <w:color w:val="333333"/>
          <w:sz w:val="24"/>
        </w:rPr>
        <w:t xml:space="preserve">GBT 35273-2020信息安全技术 </w:t>
      </w:r>
      <w:r>
        <w:rPr>
          <w:rFonts w:hint="eastAsia" w:ascii="仿宋" w:hAnsi="仿宋" w:eastAsia="仿宋" w:cs="仿宋"/>
          <w:color w:val="333333"/>
          <w:sz w:val="24"/>
        </w:rPr>
        <w:t>个人信息安全规范》。</w:t>
      </w:r>
    </w:p>
    <w:p>
      <w:pPr>
        <w:widowControl/>
        <w:jc w:val="left"/>
        <w:rPr>
          <w:rFonts w:ascii="仿宋" w:hAnsi="仿宋" w:eastAsia="仿宋" w:cs="仿宋"/>
          <w:kern w:val="0"/>
          <w:sz w:val="20"/>
          <w:szCs w:val="20"/>
        </w:rPr>
      </w:pPr>
    </w:p>
    <w:p>
      <w:pPr>
        <w:spacing w:before="156" w:beforeLines="50" w:after="156" w:afterLines="50" w:line="360" w:lineRule="auto"/>
        <w:jc w:val="left"/>
        <w:rPr>
          <w:rFonts w:ascii="仿宋" w:hAnsi="仿宋" w:eastAsia="仿宋" w:cs="仿宋"/>
          <w:b/>
          <w:color w:val="333333"/>
          <w:sz w:val="24"/>
        </w:rPr>
      </w:pPr>
      <w:bookmarkStart w:id="2" w:name="_Toc256000082"/>
      <w:bookmarkStart w:id="3" w:name="_Toc987891236"/>
      <w:r>
        <w:rPr>
          <w:rFonts w:ascii="仿宋" w:hAnsi="仿宋" w:eastAsia="仿宋" w:cs="仿宋"/>
          <w:b/>
          <w:color w:val="333333"/>
          <w:sz w:val="24"/>
        </w:rPr>
        <w:t>附件二 个人敏感信息</w:t>
      </w:r>
      <w:bookmarkEnd w:id="2"/>
      <w:bookmarkEnd w:id="3"/>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个人敏感信息是指一旦泄露、非法提供或滥用可能危害人身和财产安全，极易导致个人名誉、身心健康受到损害或歧视性待遇等的个人信息。明确未满</w:t>
      </w:r>
      <w:r>
        <w:rPr>
          <w:rFonts w:ascii="仿宋" w:hAnsi="仿宋" w:eastAsia="仿宋" w:cs="仿宋"/>
          <w:color w:val="333333"/>
          <w:sz w:val="24"/>
        </w:rPr>
        <w:t>14周岁（含）未成年人</w:t>
      </w:r>
      <w:r>
        <w:rPr>
          <w:rFonts w:hint="eastAsia" w:ascii="仿宋" w:hAnsi="仿宋" w:eastAsia="仿宋" w:cs="仿宋"/>
          <w:color w:val="333333"/>
          <w:sz w:val="24"/>
        </w:rPr>
        <w:t>的个人信息和涉及自然人隐私的信息属于个人敏感信息。可从以下角度判定是否属于个人敏感信息：</w:t>
      </w:r>
      <w:r>
        <w:rPr>
          <w:rFonts w:ascii="仿宋" w:hAnsi="仿宋" w:eastAsia="仿宋" w:cs="仿宋"/>
          <w:color w:val="333333"/>
          <w:sz w:val="24"/>
        </w:rPr>
        <w:t xml:space="preserve"> </w:t>
      </w:r>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泄露：个人信息一旦泄露，将导致个人信息主体及收集、使用个人信息的组织和机构丧失对个人信息的控制能力，造成个人信息扩散范围和用途的不可控。某些个人信息在泄漏后，被以违背个人信息主体意愿的方式直接使用或与其他信息进行关联分析，可能对个人信息主体权益带来重大风险，应判定为个人敏感信息。例如，个人信息主体的身份证复印件被他人用于手机号卡实名登记、银行账户开户办卡等。</w:t>
      </w:r>
      <w:r>
        <w:rPr>
          <w:rFonts w:ascii="仿宋" w:hAnsi="仿宋" w:eastAsia="仿宋" w:cs="仿宋"/>
          <w:color w:val="333333"/>
          <w:sz w:val="24"/>
        </w:rPr>
        <w:t xml:space="preserve"> </w:t>
      </w:r>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非法提供：某些个人信息仅因在个人信息主体授权同意范围外扩散，即可对个人信息主体权益带来重大风险，应判定为个人敏感信息。例如，性取向、存款信息、传染病史等。</w:t>
      </w:r>
      <w:r>
        <w:rPr>
          <w:rFonts w:ascii="仿宋" w:hAnsi="仿宋" w:eastAsia="仿宋" w:cs="仿宋"/>
          <w:color w:val="333333"/>
          <w:sz w:val="24"/>
        </w:rPr>
        <w:t xml:space="preserve"> </w:t>
      </w:r>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滥用：某些个人信息在被超出授权合理界限时使用（如变更处理目的、扩大处理范围等），可能对个人信息主体权益带来重大风险，应判定为个人敏感信息。例如，在未取得个人信息主体授权时，将健康信息用于保险公司营销和确定个体保费高低。个人敏感信息举例参考表</w:t>
      </w:r>
      <w:r>
        <w:rPr>
          <w:rFonts w:ascii="仿宋" w:hAnsi="仿宋" w:eastAsia="仿宋" w:cs="仿宋"/>
          <w:color w:val="333333"/>
          <w:sz w:val="24"/>
        </w:rPr>
        <w:t>B.1</w:t>
      </w:r>
      <w:r>
        <w:rPr>
          <w:rFonts w:hint="eastAsia" w:ascii="仿宋" w:hAnsi="仿宋" w:eastAsia="仿宋" w:cs="仿宋"/>
          <w:color w:val="333333"/>
          <w:sz w:val="24"/>
        </w:rPr>
        <w:t>。</w:t>
      </w:r>
    </w:p>
    <w:p>
      <w:pPr>
        <w:pStyle w:val="9"/>
        <w:tabs>
          <w:tab w:val="left" w:pos="772"/>
        </w:tabs>
        <w:spacing w:before="106" w:line="360" w:lineRule="auto"/>
        <w:ind w:right="805"/>
        <w:jc w:val="center"/>
        <w:rPr>
          <w:rFonts w:ascii="仿宋" w:hAnsi="仿宋" w:eastAsia="仿宋" w:cs="仿宋"/>
          <w:sz w:val="24"/>
          <w:szCs w:val="24"/>
        </w:rPr>
      </w:pPr>
      <w:r>
        <w:rPr>
          <w:rFonts w:hint="eastAsia" w:ascii="仿宋" w:hAnsi="仿宋" w:eastAsia="仿宋" w:cs="仿宋"/>
          <w:sz w:val="24"/>
          <w:szCs w:val="24"/>
        </w:rPr>
        <w:t>表</w:t>
      </w:r>
      <w:r>
        <w:rPr>
          <w:rFonts w:ascii="仿宋" w:hAnsi="仿宋" w:eastAsia="仿宋" w:cs="仿宋"/>
          <w:sz w:val="24"/>
          <w:szCs w:val="24"/>
        </w:rPr>
        <w:t>B.1</w:t>
      </w:r>
      <w:r>
        <w:rPr>
          <w:rFonts w:ascii="仿宋" w:hAnsi="仿宋" w:eastAsia="仿宋" w:cs="仿宋"/>
          <w:sz w:val="24"/>
          <w:szCs w:val="24"/>
        </w:rPr>
        <w:tab/>
      </w:r>
      <w:r>
        <w:rPr>
          <w:rFonts w:hint="eastAsia" w:ascii="仿宋" w:hAnsi="仿宋" w:eastAsia="仿宋" w:cs="仿宋"/>
          <w:sz w:val="24"/>
          <w:szCs w:val="24"/>
        </w:rPr>
        <w:t>个人敏感信息举例</w:t>
      </w:r>
    </w:p>
    <w:tbl>
      <w:tblPr>
        <w:tblStyle w:val="17"/>
        <w:tblW w:w="10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4" w:hRule="atLeast"/>
          <w:jc w:val="center"/>
        </w:trPr>
        <w:tc>
          <w:tcPr>
            <w:tcW w:w="2660" w:type="dxa"/>
            <w:vAlign w:val="center"/>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个人财产信息</w:t>
            </w:r>
          </w:p>
        </w:tc>
        <w:tc>
          <w:tcPr>
            <w:tcW w:w="8080" w:type="dxa"/>
            <w:vAlign w:val="center"/>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银行账户、鉴别信息</w:t>
            </w:r>
            <w:r>
              <w:rPr>
                <w:rFonts w:ascii="仿宋" w:hAnsi="仿宋" w:eastAsia="仿宋" w:cs="仿宋"/>
                <w:color w:val="000000"/>
                <w:kern w:val="0"/>
                <w:sz w:val="24"/>
              </w:rPr>
              <w:t>(</w:t>
            </w:r>
            <w:r>
              <w:rPr>
                <w:rFonts w:hint="eastAsia" w:ascii="仿宋" w:hAnsi="仿宋" w:eastAsia="仿宋" w:cs="仿宋"/>
                <w:color w:val="000000"/>
                <w:kern w:val="0"/>
                <w:sz w:val="24"/>
              </w:rPr>
              <w:t>口令</w:t>
            </w:r>
            <w:r>
              <w:rPr>
                <w:rFonts w:ascii="仿宋" w:hAnsi="仿宋" w:eastAsia="仿宋" w:cs="仿宋"/>
                <w:color w:val="000000"/>
                <w:kern w:val="0"/>
                <w:sz w:val="24"/>
              </w:rPr>
              <w:t>)</w:t>
            </w:r>
            <w:r>
              <w:rPr>
                <w:rFonts w:hint="eastAsia" w:ascii="仿宋" w:hAnsi="仿宋" w:eastAsia="仿宋" w:cs="仿宋"/>
                <w:color w:val="000000"/>
                <w:kern w:val="0"/>
                <w:sz w:val="24"/>
              </w:rPr>
              <w:t>、存款信息（包括资金数量、支付收款记录等）、房产信息、信贷记录、征信信息、交易和消费记录、流水记录等，以及虚拟货币、虚拟交易、游戏类兑换码等虚拟财产信息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2" w:hRule="atLeast"/>
          <w:jc w:val="center"/>
        </w:trPr>
        <w:tc>
          <w:tcPr>
            <w:tcW w:w="2660" w:type="dxa"/>
            <w:vAlign w:val="center"/>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个人健康生理信息</w:t>
            </w:r>
          </w:p>
        </w:tc>
        <w:tc>
          <w:tcPr>
            <w:tcW w:w="8080" w:type="dxa"/>
            <w:vAlign w:val="center"/>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因生病医治等产生的相关记录，如病症、住院志、医嘱单、检验报告、手术及麻醉记录、护理记录、用药记录、药物食物过敏信息、生育信息、以往病史、诊治情况、家族病史、现病史、传染病史等，以及与个人身体健康状况产生的相关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0" w:hRule="atLeast"/>
          <w:jc w:val="center"/>
        </w:trPr>
        <w:tc>
          <w:tcPr>
            <w:tcW w:w="2660" w:type="dxa"/>
            <w:vAlign w:val="center"/>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个人生物识别信息</w:t>
            </w:r>
          </w:p>
        </w:tc>
        <w:tc>
          <w:tcPr>
            <w:tcW w:w="8080" w:type="dxa"/>
            <w:vAlign w:val="center"/>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个人基因、指纹、声纹、掌纹、耳廓、虹膜、面部识别特征等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7" w:hRule="atLeast"/>
          <w:jc w:val="center"/>
        </w:trPr>
        <w:tc>
          <w:tcPr>
            <w:tcW w:w="2660" w:type="dxa"/>
            <w:vAlign w:val="center"/>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个人身份信息</w:t>
            </w:r>
          </w:p>
        </w:tc>
        <w:tc>
          <w:tcPr>
            <w:tcW w:w="8080" w:type="dxa"/>
            <w:vAlign w:val="center"/>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身份证、军官证、护照、驾驶证、工作证、社保卡、居住证等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7" w:hRule="atLeast"/>
          <w:jc w:val="center"/>
        </w:trPr>
        <w:tc>
          <w:tcPr>
            <w:tcW w:w="2660" w:type="dxa"/>
            <w:vAlign w:val="center"/>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kern w:val="0"/>
                <w:sz w:val="24"/>
              </w:rPr>
              <w:t>网络身份标识信息</w:t>
            </w:r>
          </w:p>
        </w:tc>
        <w:tc>
          <w:tcPr>
            <w:tcW w:w="8080" w:type="dxa"/>
            <w:vAlign w:val="center"/>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个人信息主体账号、邮箱地址及与前述有关的密码、口令、口令保护答案、用户个人数字证书等的组合。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16" w:hRule="atLeast"/>
          <w:jc w:val="center"/>
        </w:trPr>
        <w:tc>
          <w:tcPr>
            <w:tcW w:w="2660" w:type="dxa"/>
            <w:vAlign w:val="center"/>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其他信息</w:t>
            </w:r>
          </w:p>
        </w:tc>
        <w:tc>
          <w:tcPr>
            <w:tcW w:w="8080" w:type="dxa"/>
            <w:vAlign w:val="center"/>
          </w:tcPr>
          <w:p>
            <w:pPr>
              <w:autoSpaceDE w:val="0"/>
              <w:autoSpaceDN w:val="0"/>
              <w:adjustRightInd w:val="0"/>
              <w:jc w:val="left"/>
              <w:rPr>
                <w:rFonts w:ascii="仿宋" w:hAnsi="仿宋" w:eastAsia="仿宋" w:cs="仿宋"/>
                <w:color w:val="000000"/>
                <w:kern w:val="0"/>
                <w:sz w:val="24"/>
              </w:rPr>
            </w:pPr>
            <w:r>
              <w:rPr>
                <w:rFonts w:hint="eastAsia" w:ascii="仿宋" w:hAnsi="仿宋" w:eastAsia="仿宋" w:cs="仿宋"/>
                <w:color w:val="000000"/>
                <w:kern w:val="0"/>
                <w:sz w:val="24"/>
              </w:rPr>
              <w:t>个人电话号码、性取向、婚史、宗教信仰、</w:t>
            </w:r>
            <w:r>
              <w:rPr>
                <w:rFonts w:ascii="仿宋" w:hAnsi="仿宋" w:eastAsia="仿宋" w:cs="仿宋"/>
                <w:color w:val="000000"/>
                <w:kern w:val="0"/>
                <w:sz w:val="24"/>
              </w:rPr>
              <w:t>种族</w:t>
            </w:r>
            <w:r>
              <w:rPr>
                <w:rFonts w:hint="eastAsia" w:ascii="仿宋" w:hAnsi="仿宋" w:eastAsia="仿宋" w:cs="仿宋"/>
                <w:color w:val="000000"/>
                <w:kern w:val="0"/>
                <w:sz w:val="24"/>
              </w:rPr>
              <w:t>、民族、政治观点、未公开的违法犯罪记录、通信记录和内容、好友列表、群组列表、行踪轨迹、网页浏览记录、住宿信息、住址、精准定位信息、考试成绩和名次等学业信息等。</w:t>
            </w:r>
          </w:p>
        </w:tc>
      </w:tr>
    </w:tbl>
    <w:p>
      <w:pPr>
        <w:spacing w:before="156" w:beforeLines="50" w:after="156" w:afterLines="50" w:line="360" w:lineRule="auto"/>
        <w:jc w:val="left"/>
        <w:rPr>
          <w:rFonts w:ascii="仿宋" w:hAnsi="仿宋" w:eastAsia="仿宋" w:cs="仿宋"/>
          <w:color w:val="333333"/>
          <w:sz w:val="24"/>
        </w:rPr>
      </w:pPr>
      <w:r>
        <w:rPr>
          <w:rFonts w:ascii="仿宋" w:hAnsi="仿宋" w:eastAsia="仿宋" w:cs="仿宋"/>
          <w:sz w:val="24"/>
        </w:rPr>
        <w:t>参考来源</w:t>
      </w:r>
      <w:r>
        <w:rPr>
          <w:rFonts w:hint="eastAsia" w:ascii="仿宋" w:hAnsi="仿宋" w:eastAsia="仿宋" w:cs="仿宋"/>
          <w:sz w:val="24"/>
        </w:rPr>
        <w:t>：</w:t>
      </w:r>
      <w:r>
        <w:rPr>
          <w:rFonts w:hint="eastAsia" w:ascii="仿宋" w:hAnsi="仿宋" w:eastAsia="仿宋" w:cs="仿宋"/>
          <w:color w:val="333333"/>
          <w:sz w:val="24"/>
        </w:rPr>
        <w:t>《</w:t>
      </w:r>
      <w:r>
        <w:rPr>
          <w:rFonts w:ascii="仿宋" w:hAnsi="仿宋" w:eastAsia="仿宋" w:cs="仿宋"/>
          <w:color w:val="333333"/>
          <w:sz w:val="24"/>
        </w:rPr>
        <w:t xml:space="preserve">GBT 35273-2020信息安全技术 </w:t>
      </w:r>
      <w:r>
        <w:rPr>
          <w:rFonts w:hint="eastAsia" w:ascii="仿宋" w:hAnsi="仿宋" w:eastAsia="仿宋" w:cs="仿宋"/>
          <w:color w:val="333333"/>
          <w:sz w:val="24"/>
        </w:rPr>
        <w:t>个人信息安全规范》、《未成年人学校保护规定》。</w:t>
      </w:r>
    </w:p>
    <w:p>
      <w:pPr>
        <w:widowControl/>
        <w:jc w:val="left"/>
        <w:rPr>
          <w:rFonts w:ascii="仿宋" w:hAnsi="仿宋" w:eastAsia="仿宋" w:cs="仿宋"/>
          <w:kern w:val="0"/>
          <w:sz w:val="20"/>
          <w:szCs w:val="20"/>
        </w:rPr>
      </w:pPr>
    </w:p>
    <w:p>
      <w:pPr>
        <w:spacing w:before="156" w:beforeLines="50" w:after="156" w:afterLines="50" w:line="360" w:lineRule="auto"/>
        <w:jc w:val="left"/>
        <w:rPr>
          <w:rFonts w:ascii="仿宋" w:hAnsi="仿宋" w:eastAsia="仿宋" w:cs="仿宋"/>
          <w:b/>
          <w:color w:val="333333"/>
          <w:sz w:val="24"/>
        </w:rPr>
      </w:pPr>
      <w:r>
        <w:rPr>
          <w:rFonts w:ascii="仿宋" w:hAnsi="仿宋" w:eastAsia="仿宋" w:cs="仿宋"/>
          <w:b/>
          <w:color w:val="333333"/>
          <w:sz w:val="24"/>
        </w:rPr>
        <w:t>附件三 法人和其它组织基础信息</w:t>
      </w:r>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法人和其他组织基础信息是指以电子或者其他方式记录的能够单独或者与其他信息结合识别特定法人和其他组织身份或者反映特定法人和其他组织经营情况的各种信息，如机构名称、机构住所、法定代表人姓名、法定代表人身份证件号码、纳税人识别号等。</w:t>
      </w:r>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法人和其他组织基础信息的示例，见表</w:t>
      </w:r>
      <w:r>
        <w:rPr>
          <w:rFonts w:ascii="仿宋" w:hAnsi="仿宋" w:eastAsia="仿宋" w:cs="仿宋"/>
          <w:color w:val="333333"/>
          <w:sz w:val="24"/>
        </w:rPr>
        <w:t>C.1</w:t>
      </w:r>
      <w:r>
        <w:rPr>
          <w:rFonts w:hint="eastAsia" w:ascii="仿宋" w:hAnsi="仿宋" w:eastAsia="仿宋" w:cs="仿宋"/>
          <w:color w:val="333333"/>
          <w:sz w:val="24"/>
        </w:rPr>
        <w:t>。</w:t>
      </w:r>
    </w:p>
    <w:p>
      <w:pPr>
        <w:autoSpaceDE w:val="0"/>
        <w:autoSpaceDN w:val="0"/>
        <w:adjustRightInd w:val="0"/>
        <w:spacing w:line="360" w:lineRule="auto"/>
        <w:jc w:val="center"/>
        <w:rPr>
          <w:rFonts w:ascii="仿宋" w:hAnsi="仿宋" w:eastAsia="仿宋" w:cs="仿宋"/>
          <w:color w:val="333333"/>
          <w:sz w:val="24"/>
        </w:rPr>
      </w:pPr>
      <w:r>
        <w:rPr>
          <w:rFonts w:hint="eastAsia" w:ascii="仿宋" w:hAnsi="仿宋" w:eastAsia="仿宋" w:cs="仿宋"/>
          <w:color w:val="333333"/>
          <w:sz w:val="24"/>
        </w:rPr>
        <w:t>表</w:t>
      </w:r>
      <w:r>
        <w:rPr>
          <w:rFonts w:ascii="仿宋" w:hAnsi="仿宋" w:eastAsia="仿宋" w:cs="仿宋"/>
          <w:color w:val="333333"/>
          <w:sz w:val="24"/>
        </w:rPr>
        <w:t xml:space="preserve">C.1 </w:t>
      </w:r>
      <w:r>
        <w:rPr>
          <w:rFonts w:hint="eastAsia" w:ascii="仿宋" w:hAnsi="仿宋" w:eastAsia="仿宋" w:cs="仿宋"/>
          <w:color w:val="333333"/>
          <w:sz w:val="24"/>
        </w:rPr>
        <w:t>法人和其他组织基础信息举例</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7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43" w:type="dxa"/>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基本信息</w:t>
            </w:r>
          </w:p>
        </w:tc>
        <w:tc>
          <w:tcPr>
            <w:tcW w:w="7739"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组织机构代码、机构名称、机构类型、机构住所、邮政编码、电话号码、法人代表人姓名、成立日期、注册或登记号、行政区划等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43" w:type="dxa"/>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组织机构代码信息</w:t>
            </w:r>
          </w:p>
        </w:tc>
        <w:tc>
          <w:tcPr>
            <w:tcW w:w="7739"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组织机构代码证颁证日期、组织机构代码证废置日期、组织机构代码证变更事项、组织机构代码证变更内容、组织机构代码证变更日期等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43" w:type="dxa"/>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注册或登记信息</w:t>
            </w:r>
          </w:p>
        </w:tc>
        <w:tc>
          <w:tcPr>
            <w:tcW w:w="7739"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注册或登记机构名称、经济行业代码、经营或业务范围、年检年度、年检结果、注销或撤销日期、法定代表人身份证件类型、法定代表人身份证件号码、注册或开办资金金额、注册或开办资金币种、分支机构组织机构代码、分支机构名称、分支机构注册或登记号、分支机构住所、法人证书变更事项、法人证书变更内容、法人证书变更日期、营业执照吊销日期、营业执照吊销原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43" w:type="dxa"/>
          </w:tcPr>
          <w:p>
            <w:pPr>
              <w:autoSpaceDE w:val="0"/>
              <w:autoSpaceDN w:val="0"/>
              <w:adjustRightInd w:val="0"/>
              <w:spacing w:line="360" w:lineRule="auto"/>
              <w:jc w:val="center"/>
              <w:rPr>
                <w:rFonts w:ascii="仿宋" w:hAnsi="仿宋" w:eastAsia="仿宋" w:cs="仿宋"/>
                <w:color w:val="000000"/>
                <w:kern w:val="0"/>
                <w:sz w:val="24"/>
              </w:rPr>
            </w:pPr>
            <w:r>
              <w:rPr>
                <w:rFonts w:hint="eastAsia" w:ascii="仿宋" w:hAnsi="仿宋" w:eastAsia="仿宋" w:cs="仿宋"/>
                <w:color w:val="000000"/>
                <w:kern w:val="0"/>
                <w:sz w:val="24"/>
              </w:rPr>
              <w:t>税务信息</w:t>
            </w:r>
          </w:p>
        </w:tc>
        <w:tc>
          <w:tcPr>
            <w:tcW w:w="7739" w:type="dxa"/>
          </w:tcPr>
          <w:p>
            <w:pPr>
              <w:autoSpaceDE w:val="0"/>
              <w:autoSpaceDN w:val="0"/>
              <w:adjustRightIn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纳税人识别号、税务登记机关名称、税务登记日期、注销税务登记日期等。</w:t>
            </w:r>
          </w:p>
        </w:tc>
      </w:tr>
    </w:tbl>
    <w:p>
      <w:pPr>
        <w:widowControl/>
        <w:spacing w:line="360" w:lineRule="auto"/>
        <w:jc w:val="center"/>
        <w:rPr>
          <w:rFonts w:ascii="仿宋" w:hAnsi="仿宋" w:eastAsia="仿宋" w:cs="仿宋"/>
          <w:b/>
          <w:bCs/>
          <w:color w:val="000000"/>
          <w:kern w:val="0"/>
          <w:sz w:val="24"/>
          <w:lang w:bidi="ar"/>
        </w:rPr>
      </w:pPr>
    </w:p>
    <w:p>
      <w:pPr>
        <w:spacing w:before="156" w:beforeLines="50" w:after="156" w:afterLines="50" w:line="360" w:lineRule="auto"/>
        <w:jc w:val="left"/>
        <w:rPr>
          <w:rFonts w:ascii="仿宋" w:hAnsi="仿宋" w:eastAsia="仿宋" w:cs="仿宋"/>
          <w:b/>
          <w:color w:val="333333"/>
          <w:sz w:val="24"/>
        </w:rPr>
      </w:pPr>
      <w:r>
        <w:rPr>
          <w:rFonts w:ascii="仿宋" w:hAnsi="仿宋" w:eastAsia="仿宋" w:cs="仿宋"/>
          <w:b/>
          <w:color w:val="333333"/>
          <w:sz w:val="24"/>
        </w:rPr>
        <w:t>附件四 影响程度分类表</w:t>
      </w:r>
    </w:p>
    <w:p>
      <w:pPr>
        <w:autoSpaceDE w:val="0"/>
        <w:autoSpaceDN w:val="0"/>
        <w:adjustRightInd w:val="0"/>
        <w:spacing w:line="360" w:lineRule="auto"/>
        <w:ind w:firstLine="480" w:firstLineChars="200"/>
        <w:jc w:val="left"/>
        <w:rPr>
          <w:rFonts w:ascii="仿宋" w:hAnsi="仿宋" w:eastAsia="仿宋" w:cs="仿宋"/>
          <w:color w:val="333333"/>
          <w:sz w:val="24"/>
        </w:rPr>
      </w:pPr>
      <w:r>
        <w:rPr>
          <w:rFonts w:hint="eastAsia" w:ascii="仿宋" w:hAnsi="仿宋" w:eastAsia="仿宋" w:cs="仿宋"/>
          <w:color w:val="333333"/>
          <w:sz w:val="24"/>
        </w:rPr>
        <w:t>影响程度，是一个定性的说明方式。在事件没有实际发生并产生影响的情况下，无法以具体量化指标或者参数来衡量。即便在实践中，由各类事件、事故引发的直接和间接后果也难以简单衡量或者量化。</w:t>
      </w:r>
    </w:p>
    <w:p>
      <w:pPr>
        <w:autoSpaceDE w:val="0"/>
        <w:autoSpaceDN w:val="0"/>
        <w:adjustRightInd w:val="0"/>
        <w:spacing w:line="360" w:lineRule="auto"/>
        <w:ind w:firstLine="480" w:firstLineChars="200"/>
        <w:jc w:val="left"/>
        <w:rPr>
          <w:rFonts w:ascii="仿宋" w:hAnsi="仿宋" w:eastAsia="仿宋" w:cs="仿宋"/>
          <w:color w:val="333333"/>
          <w:sz w:val="24"/>
        </w:rPr>
        <w:sectPr>
          <w:pgSz w:w="11906" w:h="16838"/>
          <w:pgMar w:top="720" w:right="720" w:bottom="720" w:left="720" w:header="851" w:footer="992" w:gutter="0"/>
          <w:cols w:space="425" w:num="1"/>
          <w:docGrid w:type="lines" w:linePitch="312" w:charSpace="0"/>
        </w:sectPr>
      </w:pPr>
      <w:r>
        <w:rPr>
          <w:rFonts w:hint="eastAsia" w:ascii="仿宋" w:hAnsi="仿宋" w:eastAsia="仿宋" w:cs="仿宋"/>
          <w:color w:val="333333"/>
          <w:sz w:val="24"/>
        </w:rPr>
        <w:t>影响程度的判定，应综合考虑数据类型特征。数据类型根据业务条线划分并确定，不同业务对应不同的数据类型，体现不同的业务特点，因此，结合数据类型分析，有利于更加准确地判断影响程度。例如：用户个人隐私安全属性遭到破坏产生的影响程度通常要高于信息披露类数据；涉及个人信息的数据安全属性（保密性）遭到破坏产生的影响程度通常要高于已公开披露信息，个人隐私数据类型的数据安全属性遭到破坏产生的影响程度通常要高于非实时的行情信息类数据等。为便于确定“影响程度”，如下表提供影响程度的参考说明，供判定影响程度时参考下表8。</w:t>
      </w:r>
    </w:p>
    <w:p>
      <w:pPr>
        <w:autoSpaceDE w:val="0"/>
        <w:autoSpaceDN w:val="0"/>
        <w:adjustRightInd w:val="0"/>
        <w:spacing w:line="360" w:lineRule="auto"/>
        <w:ind w:firstLine="480" w:firstLineChars="200"/>
        <w:jc w:val="left"/>
        <w:rPr>
          <w:rFonts w:ascii="仿宋" w:hAnsi="仿宋" w:eastAsia="仿宋" w:cs="仿宋"/>
          <w:color w:val="333333"/>
          <w:sz w:val="24"/>
        </w:rPr>
      </w:pP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8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3" w:type="dxa"/>
            <w:shd w:val="clear" w:color="auto" w:fill="D8D8D8" w:themeFill="background1" w:themeFillShade="D9"/>
            <w:vAlign w:val="center"/>
          </w:tcPr>
          <w:p>
            <w:pPr>
              <w:autoSpaceDE w:val="0"/>
              <w:autoSpaceDN w:val="0"/>
              <w:adjustRightInd w:val="0"/>
              <w:spacing w:line="360" w:lineRule="auto"/>
              <w:jc w:val="center"/>
              <w:rPr>
                <w:rFonts w:ascii="仿宋" w:hAnsi="仿宋" w:eastAsia="仿宋" w:cs="仿宋"/>
                <w:b/>
                <w:color w:val="000000"/>
                <w:kern w:val="0"/>
                <w:sz w:val="24"/>
              </w:rPr>
            </w:pPr>
            <w:r>
              <w:rPr>
                <w:rFonts w:ascii="仿宋" w:hAnsi="仿宋" w:eastAsia="仿宋" w:cs="仿宋"/>
                <w:b/>
                <w:color w:val="000000"/>
                <w:kern w:val="0"/>
                <w:sz w:val="24"/>
              </w:rPr>
              <w:t>影响程度</w:t>
            </w:r>
          </w:p>
        </w:tc>
        <w:tc>
          <w:tcPr>
            <w:tcW w:w="8589" w:type="dxa"/>
            <w:shd w:val="clear" w:color="auto" w:fill="D8D8D8" w:themeFill="background1" w:themeFillShade="D9"/>
            <w:vAlign w:val="center"/>
          </w:tcPr>
          <w:p>
            <w:pPr>
              <w:autoSpaceDE w:val="0"/>
              <w:autoSpaceDN w:val="0"/>
              <w:adjustRightInd w:val="0"/>
              <w:spacing w:line="360" w:lineRule="auto"/>
              <w:jc w:val="center"/>
              <w:rPr>
                <w:rFonts w:ascii="仿宋" w:hAnsi="仿宋" w:eastAsia="仿宋" w:cs="仿宋"/>
                <w:b/>
                <w:color w:val="000000"/>
                <w:kern w:val="0"/>
                <w:sz w:val="24"/>
              </w:rPr>
            </w:pPr>
            <w:r>
              <w:rPr>
                <w:rFonts w:ascii="仿宋" w:hAnsi="仿宋" w:eastAsia="仿宋" w:cs="仿宋"/>
                <w:b/>
                <w:color w:val="000000"/>
                <w:kern w:val="0"/>
                <w:sz w:val="24"/>
              </w:rPr>
              <w:t>参考说明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3" w:type="dxa"/>
            <w:vAlign w:val="center"/>
          </w:tcPr>
          <w:p>
            <w:pPr>
              <w:autoSpaceDE w:val="0"/>
              <w:autoSpaceDN w:val="0"/>
              <w:adjustRightInd w:val="0"/>
              <w:spacing w:line="360" w:lineRule="auto"/>
              <w:jc w:val="center"/>
              <w:rPr>
                <w:rFonts w:ascii="仿宋" w:hAnsi="仿宋" w:eastAsia="仿宋" w:cs="仿宋"/>
                <w:color w:val="000000"/>
                <w:kern w:val="0"/>
                <w:szCs w:val="21"/>
              </w:rPr>
            </w:pPr>
            <w:r>
              <w:rPr>
                <w:rFonts w:hint="eastAsia" w:ascii="仿宋" w:hAnsi="仿宋" w:eastAsia="仿宋" w:cs="仿宋"/>
                <w:kern w:val="0"/>
                <w:szCs w:val="21"/>
              </w:rPr>
              <w:t>严重</w:t>
            </w:r>
          </w:p>
        </w:tc>
        <w:tc>
          <w:tcPr>
            <w:tcW w:w="8589" w:type="dxa"/>
            <w:vAlign w:val="center"/>
          </w:tcPr>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1</w:t>
            </w:r>
            <w:r>
              <w:rPr>
                <w:rFonts w:hint="eastAsia" w:ascii="仿宋" w:hAnsi="仿宋" w:eastAsia="仿宋" w:cs="仿宋"/>
                <w:kern w:val="0"/>
                <w:szCs w:val="21"/>
              </w:rPr>
              <w:t>、可能导致全部业务无法开展，造成重大经济损失。</w:t>
            </w:r>
          </w:p>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2</w:t>
            </w:r>
            <w:r>
              <w:rPr>
                <w:rFonts w:hint="eastAsia" w:ascii="仿宋" w:hAnsi="仿宋" w:eastAsia="仿宋" w:cs="仿宋"/>
                <w:kern w:val="0"/>
                <w:szCs w:val="21"/>
              </w:rPr>
              <w:t>、可能引发或导致重大或特别重大事件。</w:t>
            </w:r>
          </w:p>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3</w:t>
            </w:r>
            <w:r>
              <w:rPr>
                <w:rFonts w:hint="eastAsia" w:ascii="仿宋" w:hAnsi="仿宋" w:eastAsia="仿宋" w:cs="仿宋"/>
                <w:kern w:val="0"/>
                <w:szCs w:val="21"/>
              </w:rPr>
              <w:t>、可能引发公众广泛诉讼或集体诉讼，甚至引发群体性事件。</w:t>
            </w:r>
          </w:p>
          <w:p>
            <w:pPr>
              <w:autoSpaceDE w:val="0"/>
              <w:autoSpaceDN w:val="0"/>
              <w:adjustRightInd w:val="0"/>
              <w:jc w:val="left"/>
              <w:rPr>
                <w:rFonts w:ascii="仿宋" w:hAnsi="仿宋" w:eastAsia="仿宋" w:cs="仿宋"/>
                <w:color w:val="000000"/>
                <w:kern w:val="0"/>
                <w:szCs w:val="21"/>
              </w:rPr>
            </w:pPr>
            <w:r>
              <w:rPr>
                <w:rFonts w:ascii="仿宋" w:hAnsi="仿宋" w:eastAsia="仿宋" w:cs="仿宋"/>
                <w:kern w:val="0"/>
                <w:szCs w:val="21"/>
              </w:rPr>
              <w:t>4</w:t>
            </w:r>
            <w:r>
              <w:rPr>
                <w:rFonts w:hint="eastAsia" w:ascii="仿宋" w:hAnsi="仿宋" w:eastAsia="仿宋" w:cs="仿宋"/>
                <w:kern w:val="0"/>
                <w:szCs w:val="21"/>
              </w:rPr>
              <w:t>、可能导致监管部门严重处罚（包括取消经营资格、长期暂停相关业务等）的情况。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3" w:type="dxa"/>
            <w:vAlign w:val="center"/>
          </w:tcPr>
          <w:p>
            <w:pPr>
              <w:autoSpaceDE w:val="0"/>
              <w:autoSpaceDN w:val="0"/>
              <w:adjustRightInd w:val="0"/>
              <w:spacing w:line="360" w:lineRule="auto"/>
              <w:jc w:val="center"/>
              <w:rPr>
                <w:rFonts w:ascii="仿宋" w:hAnsi="仿宋" w:eastAsia="仿宋" w:cs="仿宋"/>
                <w:color w:val="000000"/>
                <w:kern w:val="0"/>
                <w:szCs w:val="21"/>
              </w:rPr>
            </w:pPr>
            <w:r>
              <w:rPr>
                <w:rFonts w:hint="eastAsia" w:ascii="仿宋" w:hAnsi="仿宋" w:eastAsia="仿宋" w:cs="仿宋"/>
                <w:kern w:val="0"/>
                <w:szCs w:val="21"/>
              </w:rPr>
              <w:t>中等</w:t>
            </w:r>
          </w:p>
        </w:tc>
        <w:tc>
          <w:tcPr>
            <w:tcW w:w="8589" w:type="dxa"/>
            <w:vAlign w:val="center"/>
          </w:tcPr>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1</w:t>
            </w:r>
            <w:r>
              <w:rPr>
                <w:rFonts w:hint="eastAsia" w:ascii="仿宋" w:hAnsi="仿宋" w:eastAsia="仿宋" w:cs="仿宋"/>
                <w:kern w:val="0"/>
                <w:szCs w:val="21"/>
              </w:rPr>
              <w:t>、可能导致部分业务无法开展，造成较大经济损失。</w:t>
            </w:r>
          </w:p>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2</w:t>
            </w:r>
            <w:r>
              <w:rPr>
                <w:rFonts w:hint="eastAsia" w:ascii="仿宋" w:hAnsi="仿宋" w:eastAsia="仿宋" w:cs="仿宋"/>
                <w:kern w:val="0"/>
                <w:szCs w:val="21"/>
              </w:rPr>
              <w:t>、可能引发或导致较大事件。</w:t>
            </w:r>
          </w:p>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3</w:t>
            </w:r>
            <w:r>
              <w:rPr>
                <w:rFonts w:hint="eastAsia" w:ascii="仿宋" w:hAnsi="仿宋" w:eastAsia="仿宋" w:cs="仿宋"/>
                <w:kern w:val="0"/>
                <w:szCs w:val="21"/>
              </w:rPr>
              <w:t>、可能引发一定数量客户对本机构诉讼。</w:t>
            </w:r>
          </w:p>
          <w:p>
            <w:pPr>
              <w:autoSpaceDE w:val="0"/>
              <w:autoSpaceDN w:val="0"/>
              <w:adjustRightInd w:val="0"/>
              <w:jc w:val="left"/>
              <w:rPr>
                <w:rFonts w:ascii="仿宋" w:hAnsi="仿宋" w:eastAsia="仿宋" w:cs="仿宋"/>
                <w:color w:val="000000"/>
                <w:kern w:val="0"/>
                <w:szCs w:val="21"/>
              </w:rPr>
            </w:pPr>
            <w:r>
              <w:rPr>
                <w:rFonts w:ascii="仿宋" w:hAnsi="仿宋" w:eastAsia="仿宋" w:cs="仿宋"/>
                <w:kern w:val="0"/>
                <w:szCs w:val="21"/>
              </w:rPr>
              <w:t>4</w:t>
            </w:r>
            <w:r>
              <w:rPr>
                <w:rFonts w:hint="eastAsia" w:ascii="仿宋" w:hAnsi="仿宋" w:eastAsia="仿宋" w:cs="仿宋"/>
                <w:kern w:val="0"/>
                <w:szCs w:val="21"/>
              </w:rPr>
              <w:t>、可能导致监管部门较严重处罚（包括一段时间内暂停经营资格或业务等）的情况。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3" w:type="dxa"/>
            <w:vAlign w:val="center"/>
          </w:tcPr>
          <w:p>
            <w:pPr>
              <w:autoSpaceDE w:val="0"/>
              <w:autoSpaceDN w:val="0"/>
              <w:adjustRightInd w:val="0"/>
              <w:spacing w:line="360" w:lineRule="auto"/>
              <w:jc w:val="center"/>
              <w:rPr>
                <w:rFonts w:ascii="仿宋" w:hAnsi="仿宋" w:eastAsia="仿宋" w:cs="仿宋"/>
                <w:color w:val="000000"/>
                <w:kern w:val="0"/>
                <w:szCs w:val="21"/>
              </w:rPr>
            </w:pPr>
            <w:r>
              <w:rPr>
                <w:rFonts w:hint="eastAsia" w:ascii="仿宋" w:hAnsi="仿宋" w:eastAsia="仿宋" w:cs="仿宋"/>
                <w:kern w:val="0"/>
                <w:szCs w:val="21"/>
              </w:rPr>
              <w:t>轻微</w:t>
            </w:r>
          </w:p>
        </w:tc>
        <w:tc>
          <w:tcPr>
            <w:tcW w:w="8589" w:type="dxa"/>
            <w:vAlign w:val="center"/>
          </w:tcPr>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1</w:t>
            </w:r>
            <w:r>
              <w:rPr>
                <w:rFonts w:hint="eastAsia" w:ascii="仿宋" w:hAnsi="仿宋" w:eastAsia="仿宋" w:cs="仿宋"/>
                <w:kern w:val="0"/>
                <w:szCs w:val="21"/>
              </w:rPr>
              <w:t>、可能导致个别业务短时间无法开展，造成轻微的经济损失。</w:t>
            </w:r>
          </w:p>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2</w:t>
            </w:r>
            <w:r>
              <w:rPr>
                <w:rFonts w:hint="eastAsia" w:ascii="仿宋" w:hAnsi="仿宋" w:eastAsia="仿宋" w:cs="仿宋"/>
                <w:kern w:val="0"/>
                <w:szCs w:val="21"/>
              </w:rPr>
              <w:t>、可能引发或导致一般事件。</w:t>
            </w:r>
          </w:p>
          <w:p>
            <w:pPr>
              <w:autoSpaceDE w:val="0"/>
              <w:autoSpaceDN w:val="0"/>
              <w:adjustRightInd w:val="0"/>
              <w:jc w:val="left"/>
              <w:rPr>
                <w:rFonts w:ascii="仿宋" w:hAnsi="仿宋" w:eastAsia="仿宋" w:cs="仿宋"/>
                <w:kern w:val="0"/>
                <w:szCs w:val="21"/>
              </w:rPr>
            </w:pPr>
            <w:r>
              <w:rPr>
                <w:rFonts w:ascii="仿宋" w:hAnsi="仿宋" w:eastAsia="仿宋" w:cs="仿宋"/>
                <w:kern w:val="0"/>
                <w:szCs w:val="21"/>
              </w:rPr>
              <w:t>3</w:t>
            </w:r>
            <w:r>
              <w:rPr>
                <w:rFonts w:hint="eastAsia" w:ascii="仿宋" w:hAnsi="仿宋" w:eastAsia="仿宋" w:cs="仿宋"/>
                <w:kern w:val="0"/>
                <w:szCs w:val="21"/>
              </w:rPr>
              <w:t>、可能导致至监管部门轻微处罚（包括罚款、公开批评等）的情况。</w:t>
            </w:r>
          </w:p>
          <w:p>
            <w:pPr>
              <w:autoSpaceDE w:val="0"/>
              <w:autoSpaceDN w:val="0"/>
              <w:adjustRightInd w:val="0"/>
              <w:jc w:val="left"/>
              <w:rPr>
                <w:rFonts w:ascii="仿宋" w:hAnsi="仿宋" w:eastAsia="仿宋" w:cs="仿宋"/>
                <w:color w:val="000000"/>
                <w:kern w:val="0"/>
                <w:szCs w:val="21"/>
              </w:rPr>
            </w:pPr>
            <w:r>
              <w:rPr>
                <w:rFonts w:ascii="仿宋" w:hAnsi="仿宋" w:eastAsia="仿宋" w:cs="仿宋"/>
                <w:kern w:val="0"/>
                <w:szCs w:val="21"/>
              </w:rPr>
              <w:t>4</w:t>
            </w:r>
            <w:r>
              <w:rPr>
                <w:rFonts w:hint="eastAsia" w:ascii="仿宋" w:hAnsi="仿宋" w:eastAsia="仿宋" w:cs="仿宋"/>
                <w:kern w:val="0"/>
                <w:szCs w:val="21"/>
              </w:rPr>
              <w:t>、可能对本机构声誉造成一定程度损害。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3" w:type="dxa"/>
            <w:vAlign w:val="center"/>
          </w:tcPr>
          <w:p>
            <w:pPr>
              <w:autoSpaceDE w:val="0"/>
              <w:autoSpaceDN w:val="0"/>
              <w:adjustRightInd w:val="0"/>
              <w:spacing w:line="360" w:lineRule="auto"/>
              <w:jc w:val="center"/>
              <w:rPr>
                <w:rFonts w:ascii="仿宋" w:hAnsi="仿宋" w:eastAsia="仿宋" w:cs="仿宋"/>
                <w:kern w:val="0"/>
                <w:szCs w:val="21"/>
              </w:rPr>
            </w:pPr>
            <w:r>
              <w:rPr>
                <w:rFonts w:hint="eastAsia" w:ascii="仿宋" w:hAnsi="仿宋" w:eastAsia="仿宋" w:cs="仿宋"/>
                <w:kern w:val="0"/>
                <w:szCs w:val="21"/>
              </w:rPr>
              <w:t>无</w:t>
            </w:r>
          </w:p>
        </w:tc>
        <w:tc>
          <w:tcPr>
            <w:tcW w:w="8589" w:type="dxa"/>
            <w:vAlign w:val="center"/>
          </w:tcPr>
          <w:p>
            <w:pPr>
              <w:keepNext/>
              <w:autoSpaceDE w:val="0"/>
              <w:autoSpaceDN w:val="0"/>
              <w:adjustRightInd w:val="0"/>
              <w:jc w:val="left"/>
              <w:rPr>
                <w:rFonts w:ascii="仿宋" w:hAnsi="仿宋" w:eastAsia="仿宋" w:cs="仿宋"/>
                <w:kern w:val="0"/>
                <w:szCs w:val="21"/>
              </w:rPr>
            </w:pPr>
            <w:r>
              <w:rPr>
                <w:rFonts w:ascii="仿宋" w:hAnsi="仿宋" w:eastAsia="仿宋" w:cs="仿宋"/>
                <w:kern w:val="0"/>
                <w:szCs w:val="21"/>
              </w:rPr>
              <w:t>1</w:t>
            </w:r>
            <w:r>
              <w:rPr>
                <w:rFonts w:hint="eastAsia" w:ascii="仿宋" w:hAnsi="仿宋" w:eastAsia="仿宋" w:cs="仿宋"/>
                <w:kern w:val="0"/>
                <w:szCs w:val="21"/>
              </w:rPr>
              <w:t>、不造成任何影响。</w:t>
            </w:r>
          </w:p>
        </w:tc>
      </w:tr>
    </w:tbl>
    <w:p>
      <w:pPr>
        <w:pStyle w:val="7"/>
        <w:jc w:val="center"/>
        <w:rPr>
          <w:rFonts w:ascii="仿宋" w:hAnsi="仿宋" w:eastAsia="仿宋" w:cs="仿宋"/>
        </w:rPr>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8</w:t>
      </w:r>
      <w:r>
        <w:fldChar w:fldCharType="end"/>
      </w:r>
      <w:r>
        <w:rPr>
          <w:rFonts w:hint="eastAsia" w:ascii="仿宋" w:hAnsi="仿宋" w:eastAsia="仿宋" w:cs="仿宋"/>
        </w:rPr>
        <w:t>影响程度分类表</w:t>
      </w:r>
    </w:p>
    <w:p>
      <w:pPr>
        <w:sectPr>
          <w:pgSz w:w="11906" w:h="16838"/>
          <w:pgMar w:top="720" w:right="720" w:bottom="720" w:left="720" w:header="851" w:footer="992" w:gutter="0"/>
          <w:cols w:space="425" w:num="1"/>
          <w:docGrid w:type="lines" w:linePitch="312" w:charSpace="0"/>
        </w:sectPr>
      </w:pPr>
    </w:p>
    <w:p/>
    <w:p>
      <w:pPr>
        <w:spacing w:before="156" w:beforeLines="50" w:after="156" w:afterLines="50" w:line="360" w:lineRule="auto"/>
        <w:jc w:val="center"/>
        <w:rPr>
          <w:rFonts w:ascii="仿宋" w:hAnsi="仿宋" w:eastAsia="仿宋" w:cs="仿宋"/>
          <w:b/>
          <w:color w:val="333333"/>
          <w:sz w:val="24"/>
        </w:rPr>
      </w:pPr>
      <w:r>
        <w:rPr>
          <w:rFonts w:ascii="仿宋" w:hAnsi="仿宋" w:eastAsia="仿宋" w:cs="仿宋"/>
          <w:b/>
          <w:color w:val="333333"/>
          <w:sz w:val="24"/>
        </w:rPr>
        <w:t>相关参考文献</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《中华人民共和国民法典》（第六章</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隐私权和个人信息保护）</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《中华人民共和国数据安全法》</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《中华人民共和国网络安全法》</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《中华人民共和国个人信息保护法》</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《中华人民共和国未成年人保护法》</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《未成年人学校保护规定》</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《关键信息基础设施安全保护条例》</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GBT22239-2019信息安全技术网络安全等级保护基本要求》</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《信息安全技术</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网络安全等级保护大数据基本要求》</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 xml:space="preserve">GB/T 35273-2020 </w:t>
      </w:r>
      <w:r>
        <w:rPr>
          <w:rFonts w:hint="eastAsia" w:ascii="仿宋" w:hAnsi="仿宋" w:eastAsia="仿宋" w:cs="仿宋"/>
          <w:color w:val="000000"/>
          <w:kern w:val="0"/>
          <w:sz w:val="24"/>
          <w:lang w:bidi="ar"/>
        </w:rPr>
        <w:t>信息安全技术</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个人信息安全规范》</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《上海教育数据管理办法（试行）》</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《上海教育数据安全管理规范》</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《上海教育数据分级分类规范》</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GB/T 37988-2019 信息安全技术 数据安全能力成熟度模型》</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 xml:space="preserve">GB/T 36073-2018 </w:t>
      </w:r>
      <w:r>
        <w:rPr>
          <w:rFonts w:hint="eastAsia" w:ascii="仿宋" w:hAnsi="仿宋" w:eastAsia="仿宋" w:cs="仿宋"/>
          <w:color w:val="000000"/>
          <w:kern w:val="0"/>
          <w:sz w:val="24"/>
          <w:lang w:bidi="ar"/>
        </w:rPr>
        <w:t>数据管理能力成熟度评估模型》</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 xml:space="preserve">GB/T 37973-2019 </w:t>
      </w:r>
      <w:r>
        <w:rPr>
          <w:rFonts w:hint="eastAsia" w:ascii="仿宋" w:hAnsi="仿宋" w:eastAsia="仿宋" w:cs="仿宋"/>
          <w:color w:val="000000"/>
          <w:kern w:val="0"/>
          <w:sz w:val="24"/>
          <w:lang w:bidi="ar"/>
        </w:rPr>
        <w:t>信息安全技术</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大数据安全管理指南》</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GB/T 38667-2020</w:t>
      </w:r>
      <w:r>
        <w:rPr>
          <w:rFonts w:hint="eastAsia" w:ascii="仿宋" w:hAnsi="仿宋" w:eastAsia="仿宋" w:cs="仿宋"/>
          <w:color w:val="000000"/>
          <w:kern w:val="0"/>
          <w:sz w:val="24"/>
          <w:lang w:bidi="ar"/>
        </w:rPr>
        <w:t>信息技术</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大数据</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数据分类指南》</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GB/T 37964-2019</w:t>
      </w:r>
      <w:r>
        <w:rPr>
          <w:rFonts w:hint="eastAsia" w:ascii="仿宋" w:hAnsi="仿宋" w:eastAsia="仿宋" w:cs="仿宋"/>
          <w:color w:val="000000"/>
          <w:kern w:val="0"/>
          <w:sz w:val="24"/>
          <w:lang w:bidi="ar"/>
        </w:rPr>
        <w:t>信息安全技术</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个人信息去标识化指南》</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r>
        <w:rPr>
          <w:rFonts w:ascii="仿宋" w:hAnsi="仿宋" w:eastAsia="仿宋" w:cs="仿宋"/>
          <w:color w:val="000000"/>
          <w:kern w:val="0"/>
          <w:sz w:val="24"/>
          <w:lang w:bidi="ar"/>
        </w:rPr>
        <w:t xml:space="preserve">GB/T 39725-2020 </w:t>
      </w:r>
      <w:r>
        <w:rPr>
          <w:rFonts w:hint="eastAsia" w:ascii="仿宋" w:hAnsi="仿宋" w:eastAsia="仿宋" w:cs="仿宋"/>
          <w:color w:val="000000"/>
          <w:kern w:val="0"/>
          <w:sz w:val="24"/>
          <w:lang w:bidi="ar"/>
        </w:rPr>
        <w:t>信息安全技术</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个人信息安全影响评估指南》</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《科学数据管理办法》</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《国家网络安全事件应急预案》</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《移动互联网应用程序个人信息保护管理暂行规定（征求意见）》</w:t>
      </w:r>
    </w:p>
    <w:p>
      <w:pPr>
        <w:widowControl/>
        <w:spacing w:line="360"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《最高人民法院、最高人民检察院关于办理侵犯公民个人信息刑事案件适用法律若干问题的解释》</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等线">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Calibri Light">
    <w:altName w:val="Helvetica Neue"/>
    <w:panose1 w:val="020F0302020204030204"/>
    <w:charset w:val="00"/>
    <w:family w:val="swiss"/>
    <w:pitch w:val="default"/>
    <w:sig w:usb0="00000000" w:usb1="00000000" w:usb2="00000009" w:usb3="00000000" w:csb0="000001FF" w:csb1="00000000"/>
  </w:font>
  <w:font w:name="Helvetica">
    <w:panose1 w:val="00000000000000000000"/>
    <w:charset w:val="00"/>
    <w:family w:val="swiss"/>
    <w:pitch w:val="default"/>
    <w:sig w:usb0="E00002FF" w:usb1="5000785B" w:usb2="00000000" w:usb3="00000000" w:csb0="2000019F" w:csb1="4F010000"/>
  </w:font>
  <w:font w:name="仿宋">
    <w:altName w:val="方正仿宋_GBK"/>
    <w:panose1 w:val="02010609060101010101"/>
    <w:charset w:val="86"/>
    <w:family w:val="modern"/>
    <w:pitch w:val="default"/>
    <w:sig w:usb0="00000000" w:usb1="00000000" w:usb2="00000016" w:usb3="00000000" w:csb0="00040001" w:csb1="00000000"/>
  </w:font>
  <w:font w:name="Arial">
    <w:panose1 w:val="020B0604020202090204"/>
    <w:charset w:val="00"/>
    <w:family w:val="swiss"/>
    <w:pitch w:val="default"/>
    <w:sig w:usb0="E0000AFF" w:usb1="00007843" w:usb2="00000001" w:usb3="00000000" w:csb0="400001BF" w:csb1="DFF70000"/>
  </w:font>
  <w:font w:name="楷体_GB2312">
    <w:altName w:val="汉仪楷体简"/>
    <w:panose1 w:val="00000000000000000000"/>
    <w:charset w:val="86"/>
    <w:family w:val="modern"/>
    <w:pitch w:val="default"/>
    <w:sig w:usb0="00000000" w:usb1="00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t>第</w:t>
    </w:r>
    <w:sdt>
      <w:sdtPr>
        <w:id w:val="2097974466"/>
      </w:sdtPr>
      <w:sdtContent>
        <w:r>
          <w:fldChar w:fldCharType="begin"/>
        </w:r>
        <w:r>
          <w:instrText xml:space="preserve">PAGE   \* MERGEFORMAT</w:instrText>
        </w:r>
        <w:r>
          <w:fldChar w:fldCharType="separate"/>
        </w:r>
        <w:r>
          <w:rPr>
            <w:lang w:val="zh-CN"/>
          </w:rPr>
          <w:t>1</w:t>
        </w:r>
        <w:r>
          <w:fldChar w:fldCharType="end"/>
        </w:r>
        <w:r>
          <w:t>页</w:t>
        </w:r>
      </w:sdtContent>
    </w:sdt>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70" w:firstLineChars="2700"/>
      <w:jc w:val="both"/>
    </w:pPr>
    <w:r>
      <w:rPr>
        <w:rFonts w:hint="eastAsia" w:ascii="宋体" w:hAnsi="宋体"/>
        <w:sz w:val="21"/>
      </w:rPr>
      <w:t>广东乐育尚学科技有限公司个人信息安全管理规范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
      <w:lvlJc w:val="left"/>
      <w:pPr>
        <w:ind w:left="432" w:hanging="432"/>
      </w:pPr>
      <w:rPr>
        <w:rFonts w:hint="default" w:ascii="微软雅黑" w:hAnsi="微软雅黑" w:eastAsia="微软雅黑" w:cs="微软雅黑"/>
        <w:b/>
        <w:bCs/>
        <w:color w:val="000000"/>
        <w:sz w:val="40"/>
        <w:szCs w:val="40"/>
      </w:rPr>
    </w:lvl>
    <w:lvl w:ilvl="1" w:tentative="0">
      <w:start w:val="1"/>
      <w:numFmt w:val="decimal"/>
      <w:lvlText w:val="%1.%2 "/>
      <w:lvlJc w:val="left"/>
      <w:pPr>
        <w:ind w:left="575" w:hanging="575"/>
      </w:pPr>
      <w:rPr>
        <w:rFonts w:hint="default" w:ascii="微软雅黑" w:hAnsi="微软雅黑" w:eastAsia="微软雅黑" w:cs="微软雅黑"/>
        <w:b/>
        <w:bCs/>
        <w:sz w:val="32"/>
        <w:szCs w:val="32"/>
      </w:rPr>
    </w:lvl>
    <w:lvl w:ilvl="2" w:tentative="0">
      <w:start w:val="1"/>
      <w:numFmt w:val="decimal"/>
      <w:lvlText w:val="%1.%2.%3 "/>
      <w:lvlJc w:val="left"/>
      <w:pPr>
        <w:ind w:left="720" w:hanging="720"/>
      </w:pPr>
      <w:rPr>
        <w:rFonts w:hint="default" w:ascii="微软雅黑" w:hAnsi="微软雅黑" w:eastAsia="微软雅黑" w:cs="微软雅黑"/>
        <w:b/>
        <w:bCs/>
        <w:iCs w:val="0"/>
        <w:sz w:val="28"/>
        <w:szCs w:val="28"/>
      </w:rPr>
    </w:lvl>
    <w:lvl w:ilvl="3" w:tentative="0">
      <w:start w:val="1"/>
      <w:numFmt w:val="decimal"/>
      <w:pStyle w:val="2"/>
      <w:lvlText w:val="%1.%2.%3.%4 "/>
      <w:lvlJc w:val="left"/>
      <w:pPr>
        <w:ind w:left="864" w:hanging="864"/>
      </w:pPr>
      <w:rPr>
        <w:rFonts w:hint="default" w:ascii="微软雅黑" w:hAnsi="微软雅黑" w:eastAsia="微软雅黑" w:cs="微软雅黑"/>
        <w:b/>
        <w:bCs/>
        <w:sz w:val="28"/>
        <w:szCs w:val="24"/>
      </w:rPr>
    </w:lvl>
    <w:lvl w:ilvl="4" w:tentative="0">
      <w:start w:val="1"/>
      <w:numFmt w:val="decimal"/>
      <w:pStyle w:val="3"/>
      <w:lvlText w:val="%1.%2.%3.%4.%5 "/>
      <w:lvlJc w:val="left"/>
      <w:pPr>
        <w:ind w:left="1008" w:hanging="1008"/>
      </w:pPr>
      <w:rPr>
        <w:rFonts w:hint="default" w:ascii="宋体" w:hAnsi="宋体" w:eastAsia="宋体" w:cs="等线"/>
      </w:rPr>
    </w:lvl>
    <w:lvl w:ilvl="5" w:tentative="0">
      <w:start w:val="1"/>
      <w:numFmt w:val="decimal"/>
      <w:pStyle w:val="4"/>
      <w:lvlText w:val="%1.%2.%3.%4.%5.%6 "/>
      <w:lvlJc w:val="left"/>
      <w:pPr>
        <w:ind w:left="1151" w:hanging="1151"/>
      </w:pPr>
      <w:rPr>
        <w:rFonts w:hint="default" w:ascii="宋体" w:hAnsi="宋体" w:eastAsia="宋体" w:cs="等线"/>
      </w:rPr>
    </w:lvl>
    <w:lvl w:ilvl="6" w:tentative="0">
      <w:start w:val="1"/>
      <w:numFmt w:val="decimal"/>
      <w:lvlText w:val="%1.%2.%3.%4.%5.%6.%7 "/>
      <w:lvlJc w:val="left"/>
      <w:pPr>
        <w:ind w:left="1296" w:hanging="1296"/>
      </w:pPr>
      <w:rPr>
        <w:rFonts w:hint="default" w:ascii="宋体" w:hAnsi="宋体" w:eastAsia="宋体" w:cs="等线"/>
      </w:rPr>
    </w:lvl>
    <w:lvl w:ilvl="7" w:tentative="0">
      <w:start w:val="1"/>
      <w:numFmt w:val="decimal"/>
      <w:lvlText w:val="%1.%2.%3.%4.%5.%6.%7.%8 "/>
      <w:lvlJc w:val="left"/>
      <w:pPr>
        <w:ind w:left="1440" w:hanging="1440"/>
      </w:pPr>
      <w:rPr>
        <w:rFonts w:hint="default" w:ascii="宋体" w:hAnsi="宋体" w:eastAsia="宋体" w:cs="等线"/>
      </w:rPr>
    </w:lvl>
    <w:lvl w:ilvl="8" w:tentative="0">
      <w:start w:val="1"/>
      <w:numFmt w:val="decimal"/>
      <w:lvlText w:val="%1.%2.%3.%4.%5.%6.%7.%8.%9 "/>
      <w:lvlJc w:val="left"/>
      <w:pPr>
        <w:ind w:left="1583" w:hanging="1583"/>
      </w:pPr>
      <w:rPr>
        <w:rFonts w:hint="default" w:ascii="宋体" w:hAnsi="宋体" w:eastAsia="宋体" w:cs="等线"/>
      </w:rPr>
    </w:lvl>
  </w:abstractNum>
  <w:abstractNum w:abstractNumId="1">
    <w:nsid w:val="01986525"/>
    <w:multiLevelType w:val="multilevel"/>
    <w:tmpl w:val="01986525"/>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
    <w:nsid w:val="03200FAA"/>
    <w:multiLevelType w:val="multilevel"/>
    <w:tmpl w:val="03200FAA"/>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04433B8D"/>
    <w:multiLevelType w:val="multilevel"/>
    <w:tmpl w:val="04433B8D"/>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093D0BD8"/>
    <w:multiLevelType w:val="multilevel"/>
    <w:tmpl w:val="093D0BD8"/>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09D0249B"/>
    <w:multiLevelType w:val="multilevel"/>
    <w:tmpl w:val="09D0249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9E11F34"/>
    <w:multiLevelType w:val="multilevel"/>
    <w:tmpl w:val="09E11F34"/>
    <w:lvl w:ilvl="0" w:tentative="0">
      <w:start w:val="1"/>
      <w:numFmt w:val="decimal"/>
      <w:lvlText w:val="（%1）"/>
      <w:lvlJc w:val="left"/>
      <w:pPr>
        <w:ind w:left="1200" w:hanging="720"/>
      </w:pPr>
      <w:rPr>
        <w:rFonts w:hint="default"/>
        <w:lang w:val="en-US"/>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0A1D1FD3"/>
    <w:multiLevelType w:val="multilevel"/>
    <w:tmpl w:val="0A1D1FD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0E51715B"/>
    <w:multiLevelType w:val="multilevel"/>
    <w:tmpl w:val="0E51715B"/>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9">
    <w:nsid w:val="0FB12A1D"/>
    <w:multiLevelType w:val="multilevel"/>
    <w:tmpl w:val="0FB12A1D"/>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11A47307"/>
    <w:multiLevelType w:val="multilevel"/>
    <w:tmpl w:val="11A4730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41A5ED5"/>
    <w:multiLevelType w:val="multilevel"/>
    <w:tmpl w:val="141A5ED5"/>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2">
    <w:nsid w:val="14361230"/>
    <w:multiLevelType w:val="multilevel"/>
    <w:tmpl w:val="14361230"/>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156B68DE"/>
    <w:multiLevelType w:val="multilevel"/>
    <w:tmpl w:val="156B68DE"/>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179D1715"/>
    <w:multiLevelType w:val="multilevel"/>
    <w:tmpl w:val="179D1715"/>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
    <w:nsid w:val="180E0633"/>
    <w:multiLevelType w:val="multilevel"/>
    <w:tmpl w:val="180E063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1A167237"/>
    <w:multiLevelType w:val="multilevel"/>
    <w:tmpl w:val="1A167237"/>
    <w:lvl w:ilvl="0" w:tentative="0">
      <w:start w:val="1"/>
      <w:numFmt w:val="chineseCountingThousand"/>
      <w:lvlText w:val="第%1章"/>
      <w:lvlJc w:val="left"/>
      <w:pPr>
        <w:ind w:left="420" w:hanging="420"/>
      </w:pPr>
      <w:rPr>
        <w:rFonts w:hint="eastAsia" w:ascii="仿宋" w:hAnsi="仿宋" w:eastAsia="仿宋"/>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CBF0A47"/>
    <w:multiLevelType w:val="multilevel"/>
    <w:tmpl w:val="1CBF0A47"/>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1E62498E"/>
    <w:multiLevelType w:val="multilevel"/>
    <w:tmpl w:val="1E6249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2D91AF9"/>
    <w:multiLevelType w:val="multilevel"/>
    <w:tmpl w:val="22D91AF9"/>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
    <w:nsid w:val="25FD024F"/>
    <w:multiLevelType w:val="multilevel"/>
    <w:tmpl w:val="25FD024F"/>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26F532C9"/>
    <w:multiLevelType w:val="multilevel"/>
    <w:tmpl w:val="26F532C9"/>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294C710F"/>
    <w:multiLevelType w:val="multilevel"/>
    <w:tmpl w:val="294C710F"/>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3">
    <w:nsid w:val="29A56588"/>
    <w:multiLevelType w:val="multilevel"/>
    <w:tmpl w:val="29A56588"/>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4">
    <w:nsid w:val="29D91B15"/>
    <w:multiLevelType w:val="multilevel"/>
    <w:tmpl w:val="29D91B15"/>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5">
    <w:nsid w:val="2B0E7CFB"/>
    <w:multiLevelType w:val="multilevel"/>
    <w:tmpl w:val="2B0E7CFB"/>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6">
    <w:nsid w:val="2B40029F"/>
    <w:multiLevelType w:val="multilevel"/>
    <w:tmpl w:val="2B40029F"/>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7">
    <w:nsid w:val="2B7F6B8E"/>
    <w:multiLevelType w:val="multilevel"/>
    <w:tmpl w:val="2B7F6B8E"/>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8">
    <w:nsid w:val="2BB91494"/>
    <w:multiLevelType w:val="multilevel"/>
    <w:tmpl w:val="2BB91494"/>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9">
    <w:nsid w:val="2C241D95"/>
    <w:multiLevelType w:val="multilevel"/>
    <w:tmpl w:val="2C241D95"/>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0">
    <w:nsid w:val="2CA60ACE"/>
    <w:multiLevelType w:val="multilevel"/>
    <w:tmpl w:val="2CA60ACE"/>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1">
    <w:nsid w:val="2DE6064F"/>
    <w:multiLevelType w:val="multilevel"/>
    <w:tmpl w:val="2DE6064F"/>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2">
    <w:nsid w:val="2F516A5F"/>
    <w:multiLevelType w:val="multilevel"/>
    <w:tmpl w:val="2F516A5F"/>
    <w:lvl w:ilvl="0" w:tentative="0">
      <w:start w:val="1"/>
      <w:numFmt w:val="decimal"/>
      <w:lvlText w:val="%1、"/>
      <w:lvlJc w:val="left"/>
      <w:pPr>
        <w:ind w:left="420" w:hanging="420"/>
      </w:pPr>
      <w:rPr>
        <w:rFonts w:cs="仿宋"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334E73E9"/>
    <w:multiLevelType w:val="multilevel"/>
    <w:tmpl w:val="334E73E9"/>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34">
    <w:nsid w:val="34240CA1"/>
    <w:multiLevelType w:val="multilevel"/>
    <w:tmpl w:val="34240CA1"/>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5">
    <w:nsid w:val="34BD6373"/>
    <w:multiLevelType w:val="multilevel"/>
    <w:tmpl w:val="34BD6373"/>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36">
    <w:nsid w:val="357D2DF6"/>
    <w:multiLevelType w:val="multilevel"/>
    <w:tmpl w:val="357D2DF6"/>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37">
    <w:nsid w:val="3710124B"/>
    <w:multiLevelType w:val="multilevel"/>
    <w:tmpl w:val="3710124B"/>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38">
    <w:nsid w:val="389D27AA"/>
    <w:multiLevelType w:val="multilevel"/>
    <w:tmpl w:val="389D27AA"/>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9">
    <w:nsid w:val="38AC546B"/>
    <w:multiLevelType w:val="multilevel"/>
    <w:tmpl w:val="38AC546B"/>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0">
    <w:nsid w:val="38E55D63"/>
    <w:multiLevelType w:val="multilevel"/>
    <w:tmpl w:val="38E55D6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1">
    <w:nsid w:val="391B0AAA"/>
    <w:multiLevelType w:val="multilevel"/>
    <w:tmpl w:val="391B0AAA"/>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2">
    <w:nsid w:val="3A326287"/>
    <w:multiLevelType w:val="multilevel"/>
    <w:tmpl w:val="3A326287"/>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3">
    <w:nsid w:val="3C641BD5"/>
    <w:multiLevelType w:val="multilevel"/>
    <w:tmpl w:val="3C641BD5"/>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4">
    <w:nsid w:val="3DF36311"/>
    <w:multiLevelType w:val="multilevel"/>
    <w:tmpl w:val="3DF36311"/>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5">
    <w:nsid w:val="3EBB4896"/>
    <w:multiLevelType w:val="multilevel"/>
    <w:tmpl w:val="3EBB489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3F2B049C"/>
    <w:multiLevelType w:val="multilevel"/>
    <w:tmpl w:val="3F2B049C"/>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7">
    <w:nsid w:val="3F6D7C35"/>
    <w:multiLevelType w:val="multilevel"/>
    <w:tmpl w:val="3F6D7C35"/>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8">
    <w:nsid w:val="40DD1CCA"/>
    <w:multiLevelType w:val="multilevel"/>
    <w:tmpl w:val="40DD1CCA"/>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49">
    <w:nsid w:val="422B398F"/>
    <w:multiLevelType w:val="multilevel"/>
    <w:tmpl w:val="422B39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442B68CF"/>
    <w:multiLevelType w:val="multilevel"/>
    <w:tmpl w:val="442B68CF"/>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51">
    <w:nsid w:val="44BA47AC"/>
    <w:multiLevelType w:val="multilevel"/>
    <w:tmpl w:val="44BA47AC"/>
    <w:lvl w:ilvl="0" w:tentative="0">
      <w:start w:val="1"/>
      <w:numFmt w:val="chineseCountingThousand"/>
      <w:suff w:val="space"/>
      <w:lvlText w:val="第%1章"/>
      <w:lvlJc w:val="left"/>
      <w:pPr>
        <w:ind w:left="0" w:firstLine="0"/>
      </w:pPr>
      <w:rPr>
        <w:rFonts w:hint="default" w:ascii="仿宋" w:hAnsi="仿宋" w:eastAsia="仿宋"/>
        <w:b/>
        <w:i w:val="0"/>
        <w:color w:val="auto"/>
        <w:sz w:val="32"/>
        <w:u w:val="none"/>
        <w:lang w:val="en-US"/>
      </w:rPr>
    </w:lvl>
    <w:lvl w:ilvl="1" w:tentative="0">
      <w:start w:val="1"/>
      <w:numFmt w:val="chineseCountingThousand"/>
      <w:suff w:val="space"/>
      <w:lvlText w:val="第%2节"/>
      <w:lvlJc w:val="left"/>
      <w:pPr>
        <w:ind w:left="0" w:firstLine="0"/>
      </w:pPr>
      <w:rPr>
        <w:rFonts w:hint="default" w:ascii="Arial" w:hAnsi="Arial" w:eastAsia="楷体_GB2312"/>
        <w:b w:val="0"/>
        <w:i w:val="0"/>
        <w:color w:val="auto"/>
        <w:sz w:val="32"/>
        <w:u w:val="none"/>
      </w:rPr>
    </w:lvl>
    <w:lvl w:ilvl="2" w:tentative="0">
      <w:start w:val="1"/>
      <w:numFmt w:val="chineseCountingThousand"/>
      <w:lvlRestart w:val="0"/>
      <w:pStyle w:val="28"/>
      <w:suff w:val="space"/>
      <w:lvlText w:val="第%3条"/>
      <w:lvlJc w:val="left"/>
      <w:pPr>
        <w:ind w:left="4677" w:firstLine="0"/>
      </w:pPr>
      <w:rPr>
        <w:rFonts w:hint="default" w:ascii="仿宋" w:hAnsi="仿宋" w:eastAsia="仿宋"/>
        <w:b/>
        <w:i w:val="0"/>
        <w:sz w:val="24"/>
        <w:szCs w:val="24"/>
        <w:u w:val="none"/>
        <w:lang w:val="en-US"/>
      </w:rPr>
    </w:lvl>
    <w:lvl w:ilvl="3" w:tentative="0">
      <w:start w:val="1"/>
      <w:numFmt w:val="chineseCountingThousand"/>
      <w:suff w:val="space"/>
      <w:lvlText w:val="（%4）"/>
      <w:lvlJc w:val="left"/>
      <w:pPr>
        <w:ind w:left="1277" w:firstLine="0"/>
      </w:pPr>
      <w:rPr>
        <w:rFonts w:hint="default" w:ascii="Arial" w:hAnsi="Arial" w:eastAsia="仿宋_GB2312"/>
        <w:b w:val="0"/>
        <w:i w:val="0"/>
        <w:color w:val="auto"/>
        <w:sz w:val="32"/>
        <w:lang w:val="en-US"/>
      </w:rPr>
    </w:lvl>
    <w:lvl w:ilvl="4" w:tentative="0">
      <w:start w:val="1"/>
      <w:numFmt w:val="decimal"/>
      <w:suff w:val="space"/>
      <w:lvlText w:val="%5．"/>
      <w:lvlJc w:val="left"/>
      <w:pPr>
        <w:ind w:left="0" w:firstLine="0"/>
      </w:pPr>
      <w:rPr>
        <w:rFonts w:hint="default" w:ascii="Times New Roman" w:hAnsi="Times New Roman" w:eastAsia="仿宋_GB2312"/>
        <w:b w:val="0"/>
        <w:i w:val="0"/>
        <w:color w:val="auto"/>
        <w:sz w:val="32"/>
      </w:rPr>
    </w:lvl>
    <w:lvl w:ilvl="5" w:tentative="0">
      <w:start w:val="1"/>
      <w:numFmt w:val="decimal"/>
      <w:suff w:val="space"/>
      <w:lvlText w:val="（%6）"/>
      <w:lvlJc w:val="left"/>
      <w:pPr>
        <w:ind w:left="0" w:firstLine="0"/>
      </w:pPr>
      <w:rPr>
        <w:rFonts w:hint="default" w:ascii="Arial" w:hAnsi="Arial" w:eastAsia="仿宋_GB2312"/>
        <w:b w:val="0"/>
        <w:i w:val="0"/>
        <w:color w:val="auto"/>
        <w:sz w:val="28"/>
      </w:rPr>
    </w:lvl>
    <w:lvl w:ilvl="6" w:tentative="0">
      <w:start w:val="1"/>
      <w:numFmt w:val="none"/>
      <w:suff w:val="nothing"/>
      <w:lvlText w:val="%7"/>
      <w:lvlJc w:val="left"/>
      <w:pPr>
        <w:ind w:left="0" w:firstLine="0"/>
      </w:pPr>
      <w:rPr>
        <w:rFonts w:hint="eastAsia"/>
      </w:rPr>
    </w:lvl>
    <w:lvl w:ilvl="7" w:tentative="0">
      <w:start w:val="1"/>
      <w:numFmt w:val="none"/>
      <w:suff w:val="nothing"/>
      <w:lvlText w:val="%8"/>
      <w:lvlJc w:val="left"/>
      <w:pPr>
        <w:ind w:left="0" w:firstLine="0"/>
      </w:pPr>
      <w:rPr>
        <w:rFonts w:hint="eastAsia"/>
      </w:rPr>
    </w:lvl>
    <w:lvl w:ilvl="8" w:tentative="0">
      <w:start w:val="1"/>
      <w:numFmt w:val="none"/>
      <w:suff w:val="nothing"/>
      <w:lvlText w:val="%9"/>
      <w:lvlJc w:val="left"/>
      <w:pPr>
        <w:ind w:left="0" w:firstLine="0"/>
      </w:pPr>
      <w:rPr>
        <w:rFonts w:hint="eastAsia"/>
      </w:rPr>
    </w:lvl>
  </w:abstractNum>
  <w:abstractNum w:abstractNumId="52">
    <w:nsid w:val="45B56F43"/>
    <w:multiLevelType w:val="multilevel"/>
    <w:tmpl w:val="45B56F4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3">
    <w:nsid w:val="45FB7AF1"/>
    <w:multiLevelType w:val="multilevel"/>
    <w:tmpl w:val="45FB7AF1"/>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4">
    <w:nsid w:val="46D64DED"/>
    <w:multiLevelType w:val="multilevel"/>
    <w:tmpl w:val="46D64DED"/>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5">
    <w:nsid w:val="47316547"/>
    <w:multiLevelType w:val="multilevel"/>
    <w:tmpl w:val="47316547"/>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6">
    <w:nsid w:val="47F13C8C"/>
    <w:multiLevelType w:val="multilevel"/>
    <w:tmpl w:val="47F13C8C"/>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7">
    <w:nsid w:val="490A40E4"/>
    <w:multiLevelType w:val="multilevel"/>
    <w:tmpl w:val="490A40E4"/>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8">
    <w:nsid w:val="49520813"/>
    <w:multiLevelType w:val="multilevel"/>
    <w:tmpl w:val="4952081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9">
    <w:nsid w:val="4A586448"/>
    <w:multiLevelType w:val="multilevel"/>
    <w:tmpl w:val="4A586448"/>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0">
    <w:nsid w:val="4B357BA2"/>
    <w:multiLevelType w:val="multilevel"/>
    <w:tmpl w:val="4B357BA2"/>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61">
    <w:nsid w:val="4B9558A8"/>
    <w:multiLevelType w:val="multilevel"/>
    <w:tmpl w:val="4B9558A8"/>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2">
    <w:nsid w:val="4BDA1D31"/>
    <w:multiLevelType w:val="multilevel"/>
    <w:tmpl w:val="4BDA1D31"/>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3">
    <w:nsid w:val="4DD4050F"/>
    <w:multiLevelType w:val="multilevel"/>
    <w:tmpl w:val="4DD4050F"/>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4">
    <w:nsid w:val="4F984BFD"/>
    <w:multiLevelType w:val="multilevel"/>
    <w:tmpl w:val="4F984BFD"/>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5">
    <w:nsid w:val="53A22F2F"/>
    <w:multiLevelType w:val="multilevel"/>
    <w:tmpl w:val="53A22F2F"/>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6">
    <w:nsid w:val="543D762A"/>
    <w:multiLevelType w:val="multilevel"/>
    <w:tmpl w:val="543D762A"/>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7">
    <w:nsid w:val="54F574B6"/>
    <w:multiLevelType w:val="multilevel"/>
    <w:tmpl w:val="54F574B6"/>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8">
    <w:nsid w:val="560B1B6B"/>
    <w:multiLevelType w:val="multilevel"/>
    <w:tmpl w:val="560B1B6B"/>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9">
    <w:nsid w:val="57786B53"/>
    <w:multiLevelType w:val="multilevel"/>
    <w:tmpl w:val="57786B53"/>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70">
    <w:nsid w:val="578D1733"/>
    <w:multiLevelType w:val="multilevel"/>
    <w:tmpl w:val="578D173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1">
    <w:nsid w:val="57DA1F65"/>
    <w:multiLevelType w:val="multilevel"/>
    <w:tmpl w:val="57DA1F65"/>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2">
    <w:nsid w:val="58C42EA8"/>
    <w:multiLevelType w:val="multilevel"/>
    <w:tmpl w:val="58C42EA8"/>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3">
    <w:nsid w:val="58CA7ABD"/>
    <w:multiLevelType w:val="multilevel"/>
    <w:tmpl w:val="58CA7AB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4">
    <w:nsid w:val="58EA5CE6"/>
    <w:multiLevelType w:val="multilevel"/>
    <w:tmpl w:val="58EA5CE6"/>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75">
    <w:nsid w:val="59973E53"/>
    <w:multiLevelType w:val="multilevel"/>
    <w:tmpl w:val="59973E5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6">
    <w:nsid w:val="5BC60A63"/>
    <w:multiLevelType w:val="multilevel"/>
    <w:tmpl w:val="5BC60A6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7">
    <w:nsid w:val="5DB525F8"/>
    <w:multiLevelType w:val="multilevel"/>
    <w:tmpl w:val="5DB525F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8">
    <w:nsid w:val="5DE0174C"/>
    <w:multiLevelType w:val="multilevel"/>
    <w:tmpl w:val="5DE0174C"/>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79">
    <w:nsid w:val="5E9965D3"/>
    <w:multiLevelType w:val="multilevel"/>
    <w:tmpl w:val="5E9965D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0">
    <w:nsid w:val="60880271"/>
    <w:multiLevelType w:val="multilevel"/>
    <w:tmpl w:val="60880271"/>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1">
    <w:nsid w:val="60CA6603"/>
    <w:multiLevelType w:val="multilevel"/>
    <w:tmpl w:val="60CA6603"/>
    <w:lvl w:ilvl="0" w:tentative="0">
      <w:start w:val="1"/>
      <w:numFmt w:val="decimal"/>
      <w:lvlText w:val="（%1）"/>
      <w:lvlJc w:val="left"/>
      <w:pPr>
        <w:ind w:left="1288"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2">
    <w:nsid w:val="61140BDF"/>
    <w:multiLevelType w:val="multilevel"/>
    <w:tmpl w:val="61140BDF"/>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3">
    <w:nsid w:val="638647C2"/>
    <w:multiLevelType w:val="multilevel"/>
    <w:tmpl w:val="638647C2"/>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84">
    <w:nsid w:val="64696190"/>
    <w:multiLevelType w:val="multilevel"/>
    <w:tmpl w:val="64696190"/>
    <w:lvl w:ilvl="0" w:tentative="0">
      <w:start w:val="1"/>
      <w:numFmt w:val="decimal"/>
      <w:lvlText w:val="（%1）"/>
      <w:lvlJc w:val="left"/>
      <w:pPr>
        <w:ind w:left="1146"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5">
    <w:nsid w:val="647F33A4"/>
    <w:multiLevelType w:val="multilevel"/>
    <w:tmpl w:val="647F33A4"/>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6">
    <w:nsid w:val="66BF727A"/>
    <w:multiLevelType w:val="multilevel"/>
    <w:tmpl w:val="66BF727A"/>
    <w:lvl w:ilvl="0" w:tentative="0">
      <w:start w:val="1"/>
      <w:numFmt w:val="lowerLetter"/>
      <w:lvlText w:val="%1)"/>
      <w:lvlJc w:val="left"/>
      <w:pPr>
        <w:ind w:left="1620" w:hanging="420"/>
      </w:p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87">
    <w:nsid w:val="679E64E2"/>
    <w:multiLevelType w:val="multilevel"/>
    <w:tmpl w:val="679E64E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8">
    <w:nsid w:val="67B55EF2"/>
    <w:multiLevelType w:val="multilevel"/>
    <w:tmpl w:val="67B55EF2"/>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89">
    <w:nsid w:val="689D23E2"/>
    <w:multiLevelType w:val="multilevel"/>
    <w:tmpl w:val="689D23E2"/>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0">
    <w:nsid w:val="693150CA"/>
    <w:multiLevelType w:val="multilevel"/>
    <w:tmpl w:val="693150CA"/>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91">
    <w:nsid w:val="6A7F55B2"/>
    <w:multiLevelType w:val="multilevel"/>
    <w:tmpl w:val="6A7F55B2"/>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2">
    <w:nsid w:val="6AA451A6"/>
    <w:multiLevelType w:val="multilevel"/>
    <w:tmpl w:val="6AA451A6"/>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3">
    <w:nsid w:val="6AF15BC2"/>
    <w:multiLevelType w:val="multilevel"/>
    <w:tmpl w:val="6AF15BC2"/>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4">
    <w:nsid w:val="6AF57E7A"/>
    <w:multiLevelType w:val="multilevel"/>
    <w:tmpl w:val="6AF57E7A"/>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5">
    <w:nsid w:val="6D053206"/>
    <w:multiLevelType w:val="multilevel"/>
    <w:tmpl w:val="6D05320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6">
    <w:nsid w:val="6DBA38F7"/>
    <w:multiLevelType w:val="multilevel"/>
    <w:tmpl w:val="6DBA38F7"/>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7">
    <w:nsid w:val="6E5A4986"/>
    <w:multiLevelType w:val="multilevel"/>
    <w:tmpl w:val="6E5A4986"/>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8">
    <w:nsid w:val="6E9A5660"/>
    <w:multiLevelType w:val="multilevel"/>
    <w:tmpl w:val="6E9A5660"/>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9">
    <w:nsid w:val="70147F76"/>
    <w:multiLevelType w:val="multilevel"/>
    <w:tmpl w:val="70147F76"/>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0">
    <w:nsid w:val="70AD7777"/>
    <w:multiLevelType w:val="multilevel"/>
    <w:tmpl w:val="70AD7777"/>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1">
    <w:nsid w:val="71077B54"/>
    <w:multiLevelType w:val="multilevel"/>
    <w:tmpl w:val="71077B54"/>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102">
    <w:nsid w:val="72405A64"/>
    <w:multiLevelType w:val="multilevel"/>
    <w:tmpl w:val="72405A64"/>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03">
    <w:nsid w:val="72865283"/>
    <w:multiLevelType w:val="multilevel"/>
    <w:tmpl w:val="7286528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4">
    <w:nsid w:val="76B53E14"/>
    <w:multiLevelType w:val="multilevel"/>
    <w:tmpl w:val="76B53E14"/>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5">
    <w:nsid w:val="7A3E5C6C"/>
    <w:multiLevelType w:val="multilevel"/>
    <w:tmpl w:val="7A3E5C6C"/>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6">
    <w:nsid w:val="7B233304"/>
    <w:multiLevelType w:val="multilevel"/>
    <w:tmpl w:val="7B233304"/>
    <w:lvl w:ilvl="0" w:tentative="0">
      <w:start w:val="1"/>
      <w:numFmt w:val="decimal"/>
      <w:lvlText w:val="%1."/>
      <w:lvlJc w:val="left"/>
      <w:pPr>
        <w:ind w:left="425" w:hanging="425"/>
      </w:pPr>
      <w:rPr>
        <w:rFonts w:hint="eastAsia"/>
        <w:b/>
      </w:rPr>
    </w:lvl>
    <w:lvl w:ilvl="1" w:tentative="0">
      <w:start w:val="1"/>
      <w:numFmt w:val="decimal"/>
      <w:lvlText w:val="%1.%2."/>
      <w:lvlJc w:val="left"/>
      <w:pPr>
        <w:ind w:left="567" w:hanging="567"/>
      </w:pPr>
      <w:rPr>
        <w:rFonts w:hint="eastAsia"/>
        <w:b/>
        <w:sz w:val="24"/>
        <w:szCs w:val="24"/>
      </w:rPr>
    </w:lvl>
    <w:lvl w:ilvl="2" w:tentative="0">
      <w:start w:val="1"/>
      <w:numFmt w:val="decimal"/>
      <w:lvlText w:val="%3."/>
      <w:lvlJc w:val="left"/>
      <w:pPr>
        <w:ind w:left="993" w:hanging="709"/>
      </w:pPr>
      <w:rPr>
        <w:rFonts w:hint="eastAsia"/>
        <w:sz w:val="24"/>
      </w:rPr>
    </w:lvl>
    <w:lvl w:ilvl="3" w:tentative="0">
      <w:start w:val="1"/>
      <w:numFmt w:val="decimal"/>
      <w:lvlText w:val="（%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 w:numId="2">
    <w:abstractNumId w:val="51"/>
  </w:num>
  <w:num w:numId="3">
    <w:abstractNumId w:val="16"/>
  </w:num>
  <w:num w:numId="4">
    <w:abstractNumId w:val="67"/>
  </w:num>
  <w:num w:numId="5">
    <w:abstractNumId w:val="48"/>
  </w:num>
  <w:num w:numId="6">
    <w:abstractNumId w:val="58"/>
  </w:num>
  <w:num w:numId="7">
    <w:abstractNumId w:val="76"/>
  </w:num>
  <w:num w:numId="8">
    <w:abstractNumId w:val="63"/>
  </w:num>
  <w:num w:numId="9">
    <w:abstractNumId w:val="98"/>
  </w:num>
  <w:num w:numId="10">
    <w:abstractNumId w:val="57"/>
  </w:num>
  <w:num w:numId="11">
    <w:abstractNumId w:val="68"/>
  </w:num>
  <w:num w:numId="12">
    <w:abstractNumId w:val="27"/>
  </w:num>
  <w:num w:numId="13">
    <w:abstractNumId w:val="26"/>
  </w:num>
  <w:num w:numId="14">
    <w:abstractNumId w:val="85"/>
  </w:num>
  <w:num w:numId="15">
    <w:abstractNumId w:val="6"/>
  </w:num>
  <w:num w:numId="16">
    <w:abstractNumId w:val="92"/>
  </w:num>
  <w:num w:numId="17">
    <w:abstractNumId w:val="80"/>
  </w:num>
  <w:num w:numId="18">
    <w:abstractNumId w:val="64"/>
  </w:num>
  <w:num w:numId="19">
    <w:abstractNumId w:val="7"/>
  </w:num>
  <w:num w:numId="20">
    <w:abstractNumId w:val="28"/>
  </w:num>
  <w:num w:numId="21">
    <w:abstractNumId w:val="34"/>
  </w:num>
  <w:num w:numId="22">
    <w:abstractNumId w:val="61"/>
  </w:num>
  <w:num w:numId="23">
    <w:abstractNumId w:val="103"/>
  </w:num>
  <w:num w:numId="24">
    <w:abstractNumId w:val="10"/>
  </w:num>
  <w:num w:numId="25">
    <w:abstractNumId w:val="77"/>
  </w:num>
  <w:num w:numId="26">
    <w:abstractNumId w:val="95"/>
  </w:num>
  <w:num w:numId="27">
    <w:abstractNumId w:val="18"/>
  </w:num>
  <w:num w:numId="28">
    <w:abstractNumId w:val="87"/>
  </w:num>
  <w:num w:numId="29">
    <w:abstractNumId w:val="70"/>
  </w:num>
  <w:num w:numId="30">
    <w:abstractNumId w:val="105"/>
  </w:num>
  <w:num w:numId="31">
    <w:abstractNumId w:val="45"/>
  </w:num>
  <w:num w:numId="32">
    <w:abstractNumId w:val="49"/>
  </w:num>
  <w:num w:numId="33">
    <w:abstractNumId w:val="5"/>
  </w:num>
  <w:num w:numId="34">
    <w:abstractNumId w:val="32"/>
  </w:num>
  <w:num w:numId="35">
    <w:abstractNumId w:val="36"/>
  </w:num>
  <w:num w:numId="36">
    <w:abstractNumId w:val="75"/>
  </w:num>
  <w:num w:numId="37">
    <w:abstractNumId w:val="39"/>
  </w:num>
  <w:num w:numId="38">
    <w:abstractNumId w:val="31"/>
  </w:num>
  <w:num w:numId="39">
    <w:abstractNumId w:val="1"/>
  </w:num>
  <w:num w:numId="40">
    <w:abstractNumId w:val="66"/>
  </w:num>
  <w:num w:numId="41">
    <w:abstractNumId w:val="82"/>
  </w:num>
  <w:num w:numId="42">
    <w:abstractNumId w:val="88"/>
  </w:num>
  <w:num w:numId="43">
    <w:abstractNumId w:val="44"/>
  </w:num>
  <w:num w:numId="44">
    <w:abstractNumId w:val="3"/>
  </w:num>
  <w:num w:numId="45">
    <w:abstractNumId w:val="96"/>
  </w:num>
  <w:num w:numId="46">
    <w:abstractNumId w:val="89"/>
  </w:num>
  <w:num w:numId="47">
    <w:abstractNumId w:val="102"/>
  </w:num>
  <w:num w:numId="48">
    <w:abstractNumId w:val="54"/>
  </w:num>
  <w:num w:numId="49">
    <w:abstractNumId w:val="62"/>
  </w:num>
  <w:num w:numId="50">
    <w:abstractNumId w:val="13"/>
  </w:num>
  <w:num w:numId="51">
    <w:abstractNumId w:val="97"/>
  </w:num>
  <w:num w:numId="52">
    <w:abstractNumId w:val="69"/>
  </w:num>
  <w:num w:numId="53">
    <w:abstractNumId w:val="29"/>
  </w:num>
  <w:num w:numId="54">
    <w:abstractNumId w:val="90"/>
  </w:num>
  <w:num w:numId="55">
    <w:abstractNumId w:val="22"/>
  </w:num>
  <w:num w:numId="56">
    <w:abstractNumId w:val="72"/>
  </w:num>
  <w:num w:numId="57">
    <w:abstractNumId w:val="30"/>
  </w:num>
  <w:num w:numId="58">
    <w:abstractNumId w:val="78"/>
  </w:num>
  <w:num w:numId="59">
    <w:abstractNumId w:val="56"/>
  </w:num>
  <w:num w:numId="60">
    <w:abstractNumId w:val="43"/>
  </w:num>
  <w:num w:numId="61">
    <w:abstractNumId w:val="65"/>
  </w:num>
  <w:num w:numId="62">
    <w:abstractNumId w:val="100"/>
  </w:num>
  <w:num w:numId="63">
    <w:abstractNumId w:val="59"/>
  </w:num>
  <w:num w:numId="64">
    <w:abstractNumId w:val="15"/>
  </w:num>
  <w:num w:numId="65">
    <w:abstractNumId w:val="104"/>
  </w:num>
  <w:num w:numId="66">
    <w:abstractNumId w:val="86"/>
  </w:num>
  <w:num w:numId="67">
    <w:abstractNumId w:val="52"/>
  </w:num>
  <w:num w:numId="68">
    <w:abstractNumId w:val="14"/>
  </w:num>
  <w:num w:numId="69">
    <w:abstractNumId w:val="42"/>
  </w:num>
  <w:num w:numId="70">
    <w:abstractNumId w:val="83"/>
  </w:num>
  <w:num w:numId="71">
    <w:abstractNumId w:val="38"/>
  </w:num>
  <w:num w:numId="72">
    <w:abstractNumId w:val="73"/>
  </w:num>
  <w:num w:numId="73">
    <w:abstractNumId w:val="35"/>
  </w:num>
  <w:num w:numId="74">
    <w:abstractNumId w:val="9"/>
  </w:num>
  <w:num w:numId="75">
    <w:abstractNumId w:val="79"/>
  </w:num>
  <w:num w:numId="76">
    <w:abstractNumId w:val="11"/>
  </w:num>
  <w:num w:numId="77">
    <w:abstractNumId w:val="84"/>
  </w:num>
  <w:num w:numId="78">
    <w:abstractNumId w:val="37"/>
  </w:num>
  <w:num w:numId="79">
    <w:abstractNumId w:val="101"/>
  </w:num>
  <w:num w:numId="80">
    <w:abstractNumId w:val="50"/>
  </w:num>
  <w:num w:numId="81">
    <w:abstractNumId w:val="91"/>
  </w:num>
  <w:num w:numId="82">
    <w:abstractNumId w:val="106"/>
  </w:num>
  <w:num w:numId="83">
    <w:abstractNumId w:val="71"/>
  </w:num>
  <w:num w:numId="84">
    <w:abstractNumId w:val="8"/>
  </w:num>
  <w:num w:numId="85">
    <w:abstractNumId w:val="41"/>
  </w:num>
  <w:num w:numId="86">
    <w:abstractNumId w:val="55"/>
  </w:num>
  <w:num w:numId="87">
    <w:abstractNumId w:val="74"/>
  </w:num>
  <w:num w:numId="88">
    <w:abstractNumId w:val="21"/>
  </w:num>
  <w:num w:numId="89">
    <w:abstractNumId w:val="24"/>
  </w:num>
  <w:num w:numId="90">
    <w:abstractNumId w:val="33"/>
  </w:num>
  <w:num w:numId="91">
    <w:abstractNumId w:val="2"/>
  </w:num>
  <w:num w:numId="92">
    <w:abstractNumId w:val="17"/>
  </w:num>
  <w:num w:numId="93">
    <w:abstractNumId w:val="12"/>
  </w:num>
  <w:num w:numId="94">
    <w:abstractNumId w:val="40"/>
  </w:num>
  <w:num w:numId="95">
    <w:abstractNumId w:val="46"/>
  </w:num>
  <w:num w:numId="96">
    <w:abstractNumId w:val="81"/>
  </w:num>
  <w:num w:numId="97">
    <w:abstractNumId w:val="60"/>
  </w:num>
  <w:num w:numId="98">
    <w:abstractNumId w:val="4"/>
  </w:num>
  <w:num w:numId="99">
    <w:abstractNumId w:val="99"/>
  </w:num>
  <w:num w:numId="100">
    <w:abstractNumId w:val="94"/>
  </w:num>
  <w:num w:numId="101">
    <w:abstractNumId w:val="53"/>
  </w:num>
  <w:num w:numId="102">
    <w:abstractNumId w:val="93"/>
  </w:num>
  <w:num w:numId="103">
    <w:abstractNumId w:val="23"/>
  </w:num>
  <w:num w:numId="104">
    <w:abstractNumId w:val="25"/>
  </w:num>
  <w:num w:numId="105">
    <w:abstractNumId w:val="20"/>
  </w:num>
  <w:num w:numId="106">
    <w:abstractNumId w:val="19"/>
  </w:num>
  <w:num w:numId="10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EFF8F07"/>
    <w:rsid w:val="0000061B"/>
    <w:rsid w:val="000008CC"/>
    <w:rsid w:val="000008FE"/>
    <w:rsid w:val="00000A3B"/>
    <w:rsid w:val="000015EB"/>
    <w:rsid w:val="00001681"/>
    <w:rsid w:val="00001ACE"/>
    <w:rsid w:val="00001B0F"/>
    <w:rsid w:val="00001F8C"/>
    <w:rsid w:val="00002C97"/>
    <w:rsid w:val="000038CF"/>
    <w:rsid w:val="00003CD0"/>
    <w:rsid w:val="00003DF7"/>
    <w:rsid w:val="0000428E"/>
    <w:rsid w:val="00004651"/>
    <w:rsid w:val="0000501A"/>
    <w:rsid w:val="00005470"/>
    <w:rsid w:val="000056F3"/>
    <w:rsid w:val="00005D07"/>
    <w:rsid w:val="000063D1"/>
    <w:rsid w:val="00006D06"/>
    <w:rsid w:val="000108B0"/>
    <w:rsid w:val="00010C40"/>
    <w:rsid w:val="00011FE0"/>
    <w:rsid w:val="00012A95"/>
    <w:rsid w:val="00012AF8"/>
    <w:rsid w:val="00012D73"/>
    <w:rsid w:val="00012F75"/>
    <w:rsid w:val="000146A3"/>
    <w:rsid w:val="000148AD"/>
    <w:rsid w:val="00016921"/>
    <w:rsid w:val="00016BE9"/>
    <w:rsid w:val="000172A6"/>
    <w:rsid w:val="000172C1"/>
    <w:rsid w:val="00017AA4"/>
    <w:rsid w:val="00020A8B"/>
    <w:rsid w:val="00021CDB"/>
    <w:rsid w:val="00021E4C"/>
    <w:rsid w:val="000226E7"/>
    <w:rsid w:val="000227B9"/>
    <w:rsid w:val="00023C74"/>
    <w:rsid w:val="00024474"/>
    <w:rsid w:val="000251EB"/>
    <w:rsid w:val="000257C6"/>
    <w:rsid w:val="0002648D"/>
    <w:rsid w:val="000273A7"/>
    <w:rsid w:val="00030B57"/>
    <w:rsid w:val="00030D6B"/>
    <w:rsid w:val="0003128F"/>
    <w:rsid w:val="00031BD1"/>
    <w:rsid w:val="00031C25"/>
    <w:rsid w:val="00032461"/>
    <w:rsid w:val="00032C12"/>
    <w:rsid w:val="00032C7B"/>
    <w:rsid w:val="00033CEF"/>
    <w:rsid w:val="00034074"/>
    <w:rsid w:val="00034279"/>
    <w:rsid w:val="00034811"/>
    <w:rsid w:val="00035243"/>
    <w:rsid w:val="000352A2"/>
    <w:rsid w:val="00035FC2"/>
    <w:rsid w:val="00036288"/>
    <w:rsid w:val="00036996"/>
    <w:rsid w:val="00036ADE"/>
    <w:rsid w:val="00036F2C"/>
    <w:rsid w:val="00036FDB"/>
    <w:rsid w:val="00037277"/>
    <w:rsid w:val="000372BE"/>
    <w:rsid w:val="00037AAC"/>
    <w:rsid w:val="00040554"/>
    <w:rsid w:val="000413AD"/>
    <w:rsid w:val="00041562"/>
    <w:rsid w:val="0004236A"/>
    <w:rsid w:val="00042848"/>
    <w:rsid w:val="00042980"/>
    <w:rsid w:val="00042C05"/>
    <w:rsid w:val="00042F22"/>
    <w:rsid w:val="00043718"/>
    <w:rsid w:val="000440A9"/>
    <w:rsid w:val="000442CC"/>
    <w:rsid w:val="0004491C"/>
    <w:rsid w:val="00044EC9"/>
    <w:rsid w:val="00045629"/>
    <w:rsid w:val="00046A86"/>
    <w:rsid w:val="00047A2A"/>
    <w:rsid w:val="00050132"/>
    <w:rsid w:val="00050309"/>
    <w:rsid w:val="0005043D"/>
    <w:rsid w:val="00050960"/>
    <w:rsid w:val="00050AB3"/>
    <w:rsid w:val="00050AB5"/>
    <w:rsid w:val="00050DFE"/>
    <w:rsid w:val="00051051"/>
    <w:rsid w:val="000519C6"/>
    <w:rsid w:val="00051EFC"/>
    <w:rsid w:val="00052E51"/>
    <w:rsid w:val="00053195"/>
    <w:rsid w:val="00053A8A"/>
    <w:rsid w:val="00053CB8"/>
    <w:rsid w:val="00053FEF"/>
    <w:rsid w:val="00054443"/>
    <w:rsid w:val="000546B9"/>
    <w:rsid w:val="00054D21"/>
    <w:rsid w:val="00055316"/>
    <w:rsid w:val="00055B46"/>
    <w:rsid w:val="00055B4E"/>
    <w:rsid w:val="00056774"/>
    <w:rsid w:val="000573F1"/>
    <w:rsid w:val="000573FF"/>
    <w:rsid w:val="00057FAD"/>
    <w:rsid w:val="000602C8"/>
    <w:rsid w:val="000604C7"/>
    <w:rsid w:val="00060EBA"/>
    <w:rsid w:val="00061257"/>
    <w:rsid w:val="0006133B"/>
    <w:rsid w:val="000616A5"/>
    <w:rsid w:val="00061BA4"/>
    <w:rsid w:val="00061C4B"/>
    <w:rsid w:val="00061F70"/>
    <w:rsid w:val="00062EAD"/>
    <w:rsid w:val="00062F06"/>
    <w:rsid w:val="00063070"/>
    <w:rsid w:val="00063253"/>
    <w:rsid w:val="00063E93"/>
    <w:rsid w:val="000643C4"/>
    <w:rsid w:val="00066B25"/>
    <w:rsid w:val="00066CAA"/>
    <w:rsid w:val="000670F3"/>
    <w:rsid w:val="000674F2"/>
    <w:rsid w:val="000678B4"/>
    <w:rsid w:val="00067953"/>
    <w:rsid w:val="00067D2E"/>
    <w:rsid w:val="0007034B"/>
    <w:rsid w:val="00070AB3"/>
    <w:rsid w:val="00070AFC"/>
    <w:rsid w:val="00070B58"/>
    <w:rsid w:val="00071B39"/>
    <w:rsid w:val="00072290"/>
    <w:rsid w:val="00072A51"/>
    <w:rsid w:val="00072C12"/>
    <w:rsid w:val="00072F38"/>
    <w:rsid w:val="00073D76"/>
    <w:rsid w:val="0007423A"/>
    <w:rsid w:val="000756A3"/>
    <w:rsid w:val="000760A0"/>
    <w:rsid w:val="0007662C"/>
    <w:rsid w:val="0008015F"/>
    <w:rsid w:val="00080902"/>
    <w:rsid w:val="000809FA"/>
    <w:rsid w:val="00082541"/>
    <w:rsid w:val="00082AC6"/>
    <w:rsid w:val="00082BA9"/>
    <w:rsid w:val="0008333B"/>
    <w:rsid w:val="0008394F"/>
    <w:rsid w:val="0008554A"/>
    <w:rsid w:val="00085A76"/>
    <w:rsid w:val="00085E69"/>
    <w:rsid w:val="00087362"/>
    <w:rsid w:val="00087DD4"/>
    <w:rsid w:val="00090550"/>
    <w:rsid w:val="0009061B"/>
    <w:rsid w:val="0009072B"/>
    <w:rsid w:val="0009175F"/>
    <w:rsid w:val="0009185B"/>
    <w:rsid w:val="00092168"/>
    <w:rsid w:val="000923BB"/>
    <w:rsid w:val="00093393"/>
    <w:rsid w:val="0009396C"/>
    <w:rsid w:val="000942DE"/>
    <w:rsid w:val="00094850"/>
    <w:rsid w:val="00094B51"/>
    <w:rsid w:val="00094D9B"/>
    <w:rsid w:val="00094EA2"/>
    <w:rsid w:val="00095994"/>
    <w:rsid w:val="00095E17"/>
    <w:rsid w:val="0009683A"/>
    <w:rsid w:val="00096FB8"/>
    <w:rsid w:val="00097DD6"/>
    <w:rsid w:val="000A00E3"/>
    <w:rsid w:val="000A07C3"/>
    <w:rsid w:val="000A0AAB"/>
    <w:rsid w:val="000A19D5"/>
    <w:rsid w:val="000A1F59"/>
    <w:rsid w:val="000A25C8"/>
    <w:rsid w:val="000A278E"/>
    <w:rsid w:val="000A2B02"/>
    <w:rsid w:val="000A2BDD"/>
    <w:rsid w:val="000A2F77"/>
    <w:rsid w:val="000A36A3"/>
    <w:rsid w:val="000A4D24"/>
    <w:rsid w:val="000A60A5"/>
    <w:rsid w:val="000A63A8"/>
    <w:rsid w:val="000A6BC1"/>
    <w:rsid w:val="000A733D"/>
    <w:rsid w:val="000A734D"/>
    <w:rsid w:val="000B08D3"/>
    <w:rsid w:val="000B177C"/>
    <w:rsid w:val="000B1E23"/>
    <w:rsid w:val="000B1EB0"/>
    <w:rsid w:val="000B1ED2"/>
    <w:rsid w:val="000B218C"/>
    <w:rsid w:val="000B2655"/>
    <w:rsid w:val="000B28E9"/>
    <w:rsid w:val="000B3022"/>
    <w:rsid w:val="000B30D1"/>
    <w:rsid w:val="000B34BB"/>
    <w:rsid w:val="000B3522"/>
    <w:rsid w:val="000B3FB5"/>
    <w:rsid w:val="000B4130"/>
    <w:rsid w:val="000B4D6B"/>
    <w:rsid w:val="000B4DF7"/>
    <w:rsid w:val="000B533F"/>
    <w:rsid w:val="000B5876"/>
    <w:rsid w:val="000B5E0B"/>
    <w:rsid w:val="000B67C5"/>
    <w:rsid w:val="000B6B20"/>
    <w:rsid w:val="000B6B2D"/>
    <w:rsid w:val="000B6C5F"/>
    <w:rsid w:val="000C03FB"/>
    <w:rsid w:val="000C06AF"/>
    <w:rsid w:val="000C0849"/>
    <w:rsid w:val="000C19E8"/>
    <w:rsid w:val="000C1B01"/>
    <w:rsid w:val="000C1E8F"/>
    <w:rsid w:val="000C2E39"/>
    <w:rsid w:val="000C3557"/>
    <w:rsid w:val="000C3579"/>
    <w:rsid w:val="000C3A4D"/>
    <w:rsid w:val="000C3B98"/>
    <w:rsid w:val="000C44EA"/>
    <w:rsid w:val="000C554D"/>
    <w:rsid w:val="000C691A"/>
    <w:rsid w:val="000C6AFB"/>
    <w:rsid w:val="000C6B54"/>
    <w:rsid w:val="000C6C91"/>
    <w:rsid w:val="000C6DC3"/>
    <w:rsid w:val="000C7A4F"/>
    <w:rsid w:val="000D0630"/>
    <w:rsid w:val="000D09DC"/>
    <w:rsid w:val="000D0DF6"/>
    <w:rsid w:val="000D19BF"/>
    <w:rsid w:val="000D3277"/>
    <w:rsid w:val="000D389B"/>
    <w:rsid w:val="000D3AF9"/>
    <w:rsid w:val="000D3B11"/>
    <w:rsid w:val="000D4771"/>
    <w:rsid w:val="000D4AFC"/>
    <w:rsid w:val="000D4E19"/>
    <w:rsid w:val="000D5231"/>
    <w:rsid w:val="000D7BE0"/>
    <w:rsid w:val="000D7EA2"/>
    <w:rsid w:val="000E0056"/>
    <w:rsid w:val="000E0F68"/>
    <w:rsid w:val="000E107E"/>
    <w:rsid w:val="000E115B"/>
    <w:rsid w:val="000E14AB"/>
    <w:rsid w:val="000E14C6"/>
    <w:rsid w:val="000E1591"/>
    <w:rsid w:val="000E2AC8"/>
    <w:rsid w:val="000E30D8"/>
    <w:rsid w:val="000E3DCA"/>
    <w:rsid w:val="000E410E"/>
    <w:rsid w:val="000E4B02"/>
    <w:rsid w:val="000E4B9D"/>
    <w:rsid w:val="000E54F4"/>
    <w:rsid w:val="000E5605"/>
    <w:rsid w:val="000E67B5"/>
    <w:rsid w:val="000E7B53"/>
    <w:rsid w:val="000F013A"/>
    <w:rsid w:val="000F05C4"/>
    <w:rsid w:val="000F12E7"/>
    <w:rsid w:val="000F1E6C"/>
    <w:rsid w:val="000F1FE2"/>
    <w:rsid w:val="000F2C32"/>
    <w:rsid w:val="000F36DB"/>
    <w:rsid w:val="000F402E"/>
    <w:rsid w:val="000F41D8"/>
    <w:rsid w:val="000F46BE"/>
    <w:rsid w:val="000F4727"/>
    <w:rsid w:val="000F4A2D"/>
    <w:rsid w:val="000F4C9D"/>
    <w:rsid w:val="000F4D15"/>
    <w:rsid w:val="000F4DB9"/>
    <w:rsid w:val="000F6AC3"/>
    <w:rsid w:val="000F6D6A"/>
    <w:rsid w:val="000F72CB"/>
    <w:rsid w:val="000F74DA"/>
    <w:rsid w:val="000F75F0"/>
    <w:rsid w:val="0010061A"/>
    <w:rsid w:val="001006F1"/>
    <w:rsid w:val="00100C5C"/>
    <w:rsid w:val="001017D7"/>
    <w:rsid w:val="00102408"/>
    <w:rsid w:val="001025A8"/>
    <w:rsid w:val="00102C43"/>
    <w:rsid w:val="0010322C"/>
    <w:rsid w:val="001039FC"/>
    <w:rsid w:val="00103F46"/>
    <w:rsid w:val="0010402F"/>
    <w:rsid w:val="00105340"/>
    <w:rsid w:val="001063B5"/>
    <w:rsid w:val="001077AF"/>
    <w:rsid w:val="0010799A"/>
    <w:rsid w:val="00107C91"/>
    <w:rsid w:val="00110ABE"/>
    <w:rsid w:val="00110BF1"/>
    <w:rsid w:val="0011162E"/>
    <w:rsid w:val="00111808"/>
    <w:rsid w:val="00111BF4"/>
    <w:rsid w:val="00112239"/>
    <w:rsid w:val="00112672"/>
    <w:rsid w:val="00112E42"/>
    <w:rsid w:val="00112EE6"/>
    <w:rsid w:val="0011355A"/>
    <w:rsid w:val="00113CE9"/>
    <w:rsid w:val="00114800"/>
    <w:rsid w:val="00114AE1"/>
    <w:rsid w:val="0011578E"/>
    <w:rsid w:val="00115FCC"/>
    <w:rsid w:val="001160E4"/>
    <w:rsid w:val="00117147"/>
    <w:rsid w:val="00121145"/>
    <w:rsid w:val="001213E1"/>
    <w:rsid w:val="001218E3"/>
    <w:rsid w:val="0012194E"/>
    <w:rsid w:val="00121A8D"/>
    <w:rsid w:val="00123606"/>
    <w:rsid w:val="00124B1B"/>
    <w:rsid w:val="00125B76"/>
    <w:rsid w:val="001262D6"/>
    <w:rsid w:val="001266B3"/>
    <w:rsid w:val="00126BD5"/>
    <w:rsid w:val="0012712D"/>
    <w:rsid w:val="00131BE4"/>
    <w:rsid w:val="00132875"/>
    <w:rsid w:val="0013292E"/>
    <w:rsid w:val="001329B7"/>
    <w:rsid w:val="001331CB"/>
    <w:rsid w:val="00133534"/>
    <w:rsid w:val="00134044"/>
    <w:rsid w:val="00134395"/>
    <w:rsid w:val="00134763"/>
    <w:rsid w:val="001350A4"/>
    <w:rsid w:val="001369BB"/>
    <w:rsid w:val="00136B9D"/>
    <w:rsid w:val="00136F4A"/>
    <w:rsid w:val="0013735A"/>
    <w:rsid w:val="0013751B"/>
    <w:rsid w:val="00137CE3"/>
    <w:rsid w:val="00140F65"/>
    <w:rsid w:val="00141F79"/>
    <w:rsid w:val="00142392"/>
    <w:rsid w:val="001423AE"/>
    <w:rsid w:val="00142679"/>
    <w:rsid w:val="00142D15"/>
    <w:rsid w:val="001432D0"/>
    <w:rsid w:val="001434B0"/>
    <w:rsid w:val="00144278"/>
    <w:rsid w:val="00145130"/>
    <w:rsid w:val="001468BC"/>
    <w:rsid w:val="00150128"/>
    <w:rsid w:val="001506C0"/>
    <w:rsid w:val="001506DE"/>
    <w:rsid w:val="001510C0"/>
    <w:rsid w:val="00151853"/>
    <w:rsid w:val="00151D83"/>
    <w:rsid w:val="00151D98"/>
    <w:rsid w:val="00151EB1"/>
    <w:rsid w:val="00152277"/>
    <w:rsid w:val="001525B4"/>
    <w:rsid w:val="00152C6C"/>
    <w:rsid w:val="00152EE5"/>
    <w:rsid w:val="00153A84"/>
    <w:rsid w:val="00153CBC"/>
    <w:rsid w:val="00154861"/>
    <w:rsid w:val="00154B80"/>
    <w:rsid w:val="00155F63"/>
    <w:rsid w:val="001563CF"/>
    <w:rsid w:val="00157644"/>
    <w:rsid w:val="00157859"/>
    <w:rsid w:val="00157D68"/>
    <w:rsid w:val="001615DE"/>
    <w:rsid w:val="0016310A"/>
    <w:rsid w:val="001632A4"/>
    <w:rsid w:val="00163356"/>
    <w:rsid w:val="00163A33"/>
    <w:rsid w:val="00163AB2"/>
    <w:rsid w:val="00164331"/>
    <w:rsid w:val="001644A3"/>
    <w:rsid w:val="001646A6"/>
    <w:rsid w:val="00164837"/>
    <w:rsid w:val="00164BE9"/>
    <w:rsid w:val="00164C20"/>
    <w:rsid w:val="001655B4"/>
    <w:rsid w:val="0016578A"/>
    <w:rsid w:val="00166788"/>
    <w:rsid w:val="00166DBC"/>
    <w:rsid w:val="00167523"/>
    <w:rsid w:val="00167C75"/>
    <w:rsid w:val="00170428"/>
    <w:rsid w:val="0017116B"/>
    <w:rsid w:val="0017130D"/>
    <w:rsid w:val="00171337"/>
    <w:rsid w:val="001713EC"/>
    <w:rsid w:val="00171ECA"/>
    <w:rsid w:val="0017247F"/>
    <w:rsid w:val="00172CE5"/>
    <w:rsid w:val="001739D5"/>
    <w:rsid w:val="00173F28"/>
    <w:rsid w:val="00175A34"/>
    <w:rsid w:val="00176BBF"/>
    <w:rsid w:val="00177101"/>
    <w:rsid w:val="00177823"/>
    <w:rsid w:val="0018062F"/>
    <w:rsid w:val="00180BDF"/>
    <w:rsid w:val="00180C2C"/>
    <w:rsid w:val="0018183B"/>
    <w:rsid w:val="00181CE5"/>
    <w:rsid w:val="001822D0"/>
    <w:rsid w:val="0018423B"/>
    <w:rsid w:val="001846A8"/>
    <w:rsid w:val="001846E7"/>
    <w:rsid w:val="001857FF"/>
    <w:rsid w:val="00186341"/>
    <w:rsid w:val="0018669E"/>
    <w:rsid w:val="00186D46"/>
    <w:rsid w:val="001879EE"/>
    <w:rsid w:val="00187DC2"/>
    <w:rsid w:val="00187F27"/>
    <w:rsid w:val="00191D41"/>
    <w:rsid w:val="001920DB"/>
    <w:rsid w:val="00192D7F"/>
    <w:rsid w:val="001943AE"/>
    <w:rsid w:val="00194437"/>
    <w:rsid w:val="0019488D"/>
    <w:rsid w:val="001958AA"/>
    <w:rsid w:val="00195E3E"/>
    <w:rsid w:val="00196082"/>
    <w:rsid w:val="0019629A"/>
    <w:rsid w:val="001968C3"/>
    <w:rsid w:val="00197282"/>
    <w:rsid w:val="0019755C"/>
    <w:rsid w:val="00197F1C"/>
    <w:rsid w:val="001A0053"/>
    <w:rsid w:val="001A02F4"/>
    <w:rsid w:val="001A0948"/>
    <w:rsid w:val="001A19FD"/>
    <w:rsid w:val="001A21EC"/>
    <w:rsid w:val="001A2596"/>
    <w:rsid w:val="001A2BA0"/>
    <w:rsid w:val="001A3421"/>
    <w:rsid w:val="001A3C09"/>
    <w:rsid w:val="001A3F79"/>
    <w:rsid w:val="001A450B"/>
    <w:rsid w:val="001A4CE3"/>
    <w:rsid w:val="001A5027"/>
    <w:rsid w:val="001A52FC"/>
    <w:rsid w:val="001A5FF1"/>
    <w:rsid w:val="001A5FFB"/>
    <w:rsid w:val="001A7F82"/>
    <w:rsid w:val="001B0700"/>
    <w:rsid w:val="001B0D8D"/>
    <w:rsid w:val="001B0E05"/>
    <w:rsid w:val="001B1315"/>
    <w:rsid w:val="001B1847"/>
    <w:rsid w:val="001B1A81"/>
    <w:rsid w:val="001B24F6"/>
    <w:rsid w:val="001B2546"/>
    <w:rsid w:val="001B4296"/>
    <w:rsid w:val="001B471B"/>
    <w:rsid w:val="001B53BF"/>
    <w:rsid w:val="001B57BB"/>
    <w:rsid w:val="001B598C"/>
    <w:rsid w:val="001B59D0"/>
    <w:rsid w:val="001B6B29"/>
    <w:rsid w:val="001B6EC6"/>
    <w:rsid w:val="001B706D"/>
    <w:rsid w:val="001B72DC"/>
    <w:rsid w:val="001C076A"/>
    <w:rsid w:val="001C09D6"/>
    <w:rsid w:val="001C0A45"/>
    <w:rsid w:val="001C163F"/>
    <w:rsid w:val="001C1D3E"/>
    <w:rsid w:val="001C1DF7"/>
    <w:rsid w:val="001C1F37"/>
    <w:rsid w:val="001C2038"/>
    <w:rsid w:val="001C2A2C"/>
    <w:rsid w:val="001C3B8E"/>
    <w:rsid w:val="001C4A50"/>
    <w:rsid w:val="001C4E14"/>
    <w:rsid w:val="001C4F0B"/>
    <w:rsid w:val="001C534C"/>
    <w:rsid w:val="001C7248"/>
    <w:rsid w:val="001C7E17"/>
    <w:rsid w:val="001D0922"/>
    <w:rsid w:val="001D0B8C"/>
    <w:rsid w:val="001D0DA3"/>
    <w:rsid w:val="001D11A8"/>
    <w:rsid w:val="001D1C1C"/>
    <w:rsid w:val="001D2DF1"/>
    <w:rsid w:val="001D2ED9"/>
    <w:rsid w:val="001D2F83"/>
    <w:rsid w:val="001D340E"/>
    <w:rsid w:val="001D3D93"/>
    <w:rsid w:val="001D5855"/>
    <w:rsid w:val="001D6ACE"/>
    <w:rsid w:val="001D7139"/>
    <w:rsid w:val="001D728B"/>
    <w:rsid w:val="001D7FA2"/>
    <w:rsid w:val="001E07CA"/>
    <w:rsid w:val="001E0D30"/>
    <w:rsid w:val="001E174E"/>
    <w:rsid w:val="001E1B63"/>
    <w:rsid w:val="001E1CF2"/>
    <w:rsid w:val="001E1D6B"/>
    <w:rsid w:val="001E2725"/>
    <w:rsid w:val="001E3D62"/>
    <w:rsid w:val="001E3E1A"/>
    <w:rsid w:val="001E40D3"/>
    <w:rsid w:val="001E49AC"/>
    <w:rsid w:val="001E52D6"/>
    <w:rsid w:val="001E624A"/>
    <w:rsid w:val="001E6AF1"/>
    <w:rsid w:val="001E6BEB"/>
    <w:rsid w:val="001E7A45"/>
    <w:rsid w:val="001E7B22"/>
    <w:rsid w:val="001E7E98"/>
    <w:rsid w:val="001E7F9E"/>
    <w:rsid w:val="001F085D"/>
    <w:rsid w:val="001F1185"/>
    <w:rsid w:val="001F1902"/>
    <w:rsid w:val="001F1FAF"/>
    <w:rsid w:val="001F204B"/>
    <w:rsid w:val="001F214C"/>
    <w:rsid w:val="001F24DC"/>
    <w:rsid w:val="001F27B6"/>
    <w:rsid w:val="001F2E58"/>
    <w:rsid w:val="001F3544"/>
    <w:rsid w:val="001F5FBA"/>
    <w:rsid w:val="001F6348"/>
    <w:rsid w:val="001F6748"/>
    <w:rsid w:val="001F6E06"/>
    <w:rsid w:val="001F71C0"/>
    <w:rsid w:val="001F7FEC"/>
    <w:rsid w:val="0020007C"/>
    <w:rsid w:val="00200A17"/>
    <w:rsid w:val="00201C4C"/>
    <w:rsid w:val="002027D1"/>
    <w:rsid w:val="00202A40"/>
    <w:rsid w:val="00203AF3"/>
    <w:rsid w:val="00203C6D"/>
    <w:rsid w:val="00204040"/>
    <w:rsid w:val="002041C7"/>
    <w:rsid w:val="0020568A"/>
    <w:rsid w:val="00205E4C"/>
    <w:rsid w:val="00206609"/>
    <w:rsid w:val="00206E71"/>
    <w:rsid w:val="00207A55"/>
    <w:rsid w:val="00210C8E"/>
    <w:rsid w:val="00211975"/>
    <w:rsid w:val="00211B0A"/>
    <w:rsid w:val="00211BEE"/>
    <w:rsid w:val="00211DAC"/>
    <w:rsid w:val="002128EE"/>
    <w:rsid w:val="00212950"/>
    <w:rsid w:val="00212A2A"/>
    <w:rsid w:val="00212EA3"/>
    <w:rsid w:val="0021337C"/>
    <w:rsid w:val="0021430A"/>
    <w:rsid w:val="00214D2F"/>
    <w:rsid w:val="002164AE"/>
    <w:rsid w:val="00216984"/>
    <w:rsid w:val="00216B22"/>
    <w:rsid w:val="00217519"/>
    <w:rsid w:val="00221AF0"/>
    <w:rsid w:val="00222422"/>
    <w:rsid w:val="00222D47"/>
    <w:rsid w:val="00222E78"/>
    <w:rsid w:val="00223031"/>
    <w:rsid w:val="00223570"/>
    <w:rsid w:val="00223635"/>
    <w:rsid w:val="00223C3C"/>
    <w:rsid w:val="00224067"/>
    <w:rsid w:val="002259DC"/>
    <w:rsid w:val="002266FB"/>
    <w:rsid w:val="002309D6"/>
    <w:rsid w:val="00230F97"/>
    <w:rsid w:val="002317F1"/>
    <w:rsid w:val="0023208C"/>
    <w:rsid w:val="00232365"/>
    <w:rsid w:val="00232E6D"/>
    <w:rsid w:val="00233189"/>
    <w:rsid w:val="00235CEC"/>
    <w:rsid w:val="002360FE"/>
    <w:rsid w:val="002367D1"/>
    <w:rsid w:val="00240995"/>
    <w:rsid w:val="00240A07"/>
    <w:rsid w:val="00240FC7"/>
    <w:rsid w:val="00242359"/>
    <w:rsid w:val="00242461"/>
    <w:rsid w:val="00242B1A"/>
    <w:rsid w:val="00242D35"/>
    <w:rsid w:val="00243FC5"/>
    <w:rsid w:val="002442A6"/>
    <w:rsid w:val="0024445D"/>
    <w:rsid w:val="00244A04"/>
    <w:rsid w:val="002456E9"/>
    <w:rsid w:val="00245A17"/>
    <w:rsid w:val="00245C3C"/>
    <w:rsid w:val="00245EBA"/>
    <w:rsid w:val="002464C9"/>
    <w:rsid w:val="002467DD"/>
    <w:rsid w:val="0024772D"/>
    <w:rsid w:val="00247F59"/>
    <w:rsid w:val="0025046A"/>
    <w:rsid w:val="002521F7"/>
    <w:rsid w:val="00252A3D"/>
    <w:rsid w:val="0025430C"/>
    <w:rsid w:val="00254B5D"/>
    <w:rsid w:val="00254C18"/>
    <w:rsid w:val="00254F54"/>
    <w:rsid w:val="00255776"/>
    <w:rsid w:val="00256D92"/>
    <w:rsid w:val="002572B7"/>
    <w:rsid w:val="00257445"/>
    <w:rsid w:val="00257734"/>
    <w:rsid w:val="00260602"/>
    <w:rsid w:val="00260CA7"/>
    <w:rsid w:val="00261359"/>
    <w:rsid w:val="0026178C"/>
    <w:rsid w:val="00261E12"/>
    <w:rsid w:val="00261E7E"/>
    <w:rsid w:val="00262A62"/>
    <w:rsid w:val="00262C32"/>
    <w:rsid w:val="0026363D"/>
    <w:rsid w:val="00264530"/>
    <w:rsid w:val="00265613"/>
    <w:rsid w:val="0026583B"/>
    <w:rsid w:val="00265AC0"/>
    <w:rsid w:val="002661E6"/>
    <w:rsid w:val="0026706E"/>
    <w:rsid w:val="0026718A"/>
    <w:rsid w:val="00270FAB"/>
    <w:rsid w:val="002711DD"/>
    <w:rsid w:val="0027172F"/>
    <w:rsid w:val="00272C0C"/>
    <w:rsid w:val="00272E6C"/>
    <w:rsid w:val="00274D8D"/>
    <w:rsid w:val="002753CD"/>
    <w:rsid w:val="00276620"/>
    <w:rsid w:val="0027675E"/>
    <w:rsid w:val="00276E7C"/>
    <w:rsid w:val="002772E5"/>
    <w:rsid w:val="002778D1"/>
    <w:rsid w:val="00280306"/>
    <w:rsid w:val="002803EA"/>
    <w:rsid w:val="0028123F"/>
    <w:rsid w:val="002812F3"/>
    <w:rsid w:val="00281A5F"/>
    <w:rsid w:val="00281EF7"/>
    <w:rsid w:val="00282D83"/>
    <w:rsid w:val="00285A13"/>
    <w:rsid w:val="00285C8A"/>
    <w:rsid w:val="00286282"/>
    <w:rsid w:val="00286489"/>
    <w:rsid w:val="00286847"/>
    <w:rsid w:val="00286C59"/>
    <w:rsid w:val="00287517"/>
    <w:rsid w:val="00287581"/>
    <w:rsid w:val="002877DB"/>
    <w:rsid w:val="002900E8"/>
    <w:rsid w:val="00291229"/>
    <w:rsid w:val="00291309"/>
    <w:rsid w:val="00291328"/>
    <w:rsid w:val="002913E9"/>
    <w:rsid w:val="0029175D"/>
    <w:rsid w:val="002917F2"/>
    <w:rsid w:val="00291A7E"/>
    <w:rsid w:val="002923C5"/>
    <w:rsid w:val="00293BFB"/>
    <w:rsid w:val="0029404B"/>
    <w:rsid w:val="00294986"/>
    <w:rsid w:val="00294E61"/>
    <w:rsid w:val="0029637B"/>
    <w:rsid w:val="00296A67"/>
    <w:rsid w:val="0029728A"/>
    <w:rsid w:val="00297DEA"/>
    <w:rsid w:val="002A00EB"/>
    <w:rsid w:val="002A0276"/>
    <w:rsid w:val="002A08C3"/>
    <w:rsid w:val="002A0C51"/>
    <w:rsid w:val="002A0EE9"/>
    <w:rsid w:val="002A14D8"/>
    <w:rsid w:val="002A158C"/>
    <w:rsid w:val="002A1A87"/>
    <w:rsid w:val="002A1B17"/>
    <w:rsid w:val="002A1D1A"/>
    <w:rsid w:val="002A2EFF"/>
    <w:rsid w:val="002A395B"/>
    <w:rsid w:val="002A3C42"/>
    <w:rsid w:val="002A4190"/>
    <w:rsid w:val="002A4572"/>
    <w:rsid w:val="002A52F4"/>
    <w:rsid w:val="002A56F3"/>
    <w:rsid w:val="002A6F61"/>
    <w:rsid w:val="002A7C81"/>
    <w:rsid w:val="002B0353"/>
    <w:rsid w:val="002B089A"/>
    <w:rsid w:val="002B0A0B"/>
    <w:rsid w:val="002B0D2C"/>
    <w:rsid w:val="002B0EF6"/>
    <w:rsid w:val="002B2866"/>
    <w:rsid w:val="002B2D53"/>
    <w:rsid w:val="002B3420"/>
    <w:rsid w:val="002B45EE"/>
    <w:rsid w:val="002B474A"/>
    <w:rsid w:val="002B4EA2"/>
    <w:rsid w:val="002B4F9E"/>
    <w:rsid w:val="002B598F"/>
    <w:rsid w:val="002B5D50"/>
    <w:rsid w:val="002B64C1"/>
    <w:rsid w:val="002B6A9E"/>
    <w:rsid w:val="002B7272"/>
    <w:rsid w:val="002B7E0E"/>
    <w:rsid w:val="002B7EB1"/>
    <w:rsid w:val="002C08EF"/>
    <w:rsid w:val="002C0981"/>
    <w:rsid w:val="002C116A"/>
    <w:rsid w:val="002C127E"/>
    <w:rsid w:val="002C377A"/>
    <w:rsid w:val="002C57D6"/>
    <w:rsid w:val="002C5C36"/>
    <w:rsid w:val="002C6A65"/>
    <w:rsid w:val="002C716C"/>
    <w:rsid w:val="002D011A"/>
    <w:rsid w:val="002D0213"/>
    <w:rsid w:val="002D068A"/>
    <w:rsid w:val="002D06AF"/>
    <w:rsid w:val="002D0D45"/>
    <w:rsid w:val="002D11C8"/>
    <w:rsid w:val="002D2A60"/>
    <w:rsid w:val="002D3010"/>
    <w:rsid w:val="002D39DA"/>
    <w:rsid w:val="002D3B66"/>
    <w:rsid w:val="002D3DFB"/>
    <w:rsid w:val="002D4419"/>
    <w:rsid w:val="002D44AD"/>
    <w:rsid w:val="002D451C"/>
    <w:rsid w:val="002D4C49"/>
    <w:rsid w:val="002D4E51"/>
    <w:rsid w:val="002D66E2"/>
    <w:rsid w:val="002D677E"/>
    <w:rsid w:val="002D67FD"/>
    <w:rsid w:val="002D692B"/>
    <w:rsid w:val="002D6BBF"/>
    <w:rsid w:val="002D6FCA"/>
    <w:rsid w:val="002E0479"/>
    <w:rsid w:val="002E100C"/>
    <w:rsid w:val="002E2455"/>
    <w:rsid w:val="002E2E7F"/>
    <w:rsid w:val="002E3C6C"/>
    <w:rsid w:val="002E4987"/>
    <w:rsid w:val="002E5290"/>
    <w:rsid w:val="002E6766"/>
    <w:rsid w:val="002E71AF"/>
    <w:rsid w:val="002E7CF5"/>
    <w:rsid w:val="002F0287"/>
    <w:rsid w:val="002F082B"/>
    <w:rsid w:val="002F230A"/>
    <w:rsid w:val="002F3307"/>
    <w:rsid w:val="002F3492"/>
    <w:rsid w:val="002F386C"/>
    <w:rsid w:val="002F3D35"/>
    <w:rsid w:val="002F4472"/>
    <w:rsid w:val="002F452E"/>
    <w:rsid w:val="002F4602"/>
    <w:rsid w:val="002F4F83"/>
    <w:rsid w:val="002F502E"/>
    <w:rsid w:val="002F531D"/>
    <w:rsid w:val="002F5A57"/>
    <w:rsid w:val="002F613B"/>
    <w:rsid w:val="002F78DF"/>
    <w:rsid w:val="002F78F5"/>
    <w:rsid w:val="00300082"/>
    <w:rsid w:val="003052B8"/>
    <w:rsid w:val="003055E6"/>
    <w:rsid w:val="00305715"/>
    <w:rsid w:val="00305974"/>
    <w:rsid w:val="00305D28"/>
    <w:rsid w:val="00305F1E"/>
    <w:rsid w:val="00305F94"/>
    <w:rsid w:val="00306442"/>
    <w:rsid w:val="00306672"/>
    <w:rsid w:val="003074A8"/>
    <w:rsid w:val="0030782D"/>
    <w:rsid w:val="0031000E"/>
    <w:rsid w:val="00311A20"/>
    <w:rsid w:val="00311AAB"/>
    <w:rsid w:val="00313195"/>
    <w:rsid w:val="003138FF"/>
    <w:rsid w:val="00314C8A"/>
    <w:rsid w:val="00314E37"/>
    <w:rsid w:val="003156C0"/>
    <w:rsid w:val="00315872"/>
    <w:rsid w:val="0031618D"/>
    <w:rsid w:val="0031645D"/>
    <w:rsid w:val="00316D7C"/>
    <w:rsid w:val="00321136"/>
    <w:rsid w:val="003218BD"/>
    <w:rsid w:val="00321D2A"/>
    <w:rsid w:val="00322BF4"/>
    <w:rsid w:val="00323055"/>
    <w:rsid w:val="003235D2"/>
    <w:rsid w:val="0032364F"/>
    <w:rsid w:val="00323C26"/>
    <w:rsid w:val="00324574"/>
    <w:rsid w:val="00324A84"/>
    <w:rsid w:val="00326581"/>
    <w:rsid w:val="0032697D"/>
    <w:rsid w:val="00330AD3"/>
    <w:rsid w:val="00331787"/>
    <w:rsid w:val="00331ADC"/>
    <w:rsid w:val="00331E08"/>
    <w:rsid w:val="003332D0"/>
    <w:rsid w:val="0033356E"/>
    <w:rsid w:val="003335EA"/>
    <w:rsid w:val="00333BD7"/>
    <w:rsid w:val="00334FF5"/>
    <w:rsid w:val="0033550A"/>
    <w:rsid w:val="003355CD"/>
    <w:rsid w:val="00335751"/>
    <w:rsid w:val="00336B54"/>
    <w:rsid w:val="003370D5"/>
    <w:rsid w:val="00337511"/>
    <w:rsid w:val="00337AFC"/>
    <w:rsid w:val="00337F6B"/>
    <w:rsid w:val="00337FCD"/>
    <w:rsid w:val="00340E6D"/>
    <w:rsid w:val="0034179E"/>
    <w:rsid w:val="00341832"/>
    <w:rsid w:val="00341C06"/>
    <w:rsid w:val="003424F5"/>
    <w:rsid w:val="00342519"/>
    <w:rsid w:val="00342A7C"/>
    <w:rsid w:val="00342C60"/>
    <w:rsid w:val="00343C3C"/>
    <w:rsid w:val="0034434A"/>
    <w:rsid w:val="00344F5B"/>
    <w:rsid w:val="00345133"/>
    <w:rsid w:val="00345C12"/>
    <w:rsid w:val="00346066"/>
    <w:rsid w:val="00346448"/>
    <w:rsid w:val="00346D84"/>
    <w:rsid w:val="0034706F"/>
    <w:rsid w:val="003479C2"/>
    <w:rsid w:val="00347F33"/>
    <w:rsid w:val="0035098F"/>
    <w:rsid w:val="003518B8"/>
    <w:rsid w:val="00351F3D"/>
    <w:rsid w:val="00352825"/>
    <w:rsid w:val="003529F7"/>
    <w:rsid w:val="00352F4E"/>
    <w:rsid w:val="00353E0A"/>
    <w:rsid w:val="00354E25"/>
    <w:rsid w:val="00354E81"/>
    <w:rsid w:val="0035565C"/>
    <w:rsid w:val="00355810"/>
    <w:rsid w:val="00355AA0"/>
    <w:rsid w:val="00355DD7"/>
    <w:rsid w:val="0035620C"/>
    <w:rsid w:val="00356357"/>
    <w:rsid w:val="00356640"/>
    <w:rsid w:val="00356B01"/>
    <w:rsid w:val="00356D1C"/>
    <w:rsid w:val="00357552"/>
    <w:rsid w:val="00357E4A"/>
    <w:rsid w:val="00357F5A"/>
    <w:rsid w:val="00357FE4"/>
    <w:rsid w:val="00361A6B"/>
    <w:rsid w:val="00361EF0"/>
    <w:rsid w:val="0036234A"/>
    <w:rsid w:val="00362464"/>
    <w:rsid w:val="00362968"/>
    <w:rsid w:val="00363285"/>
    <w:rsid w:val="00363529"/>
    <w:rsid w:val="003635FE"/>
    <w:rsid w:val="00363DF3"/>
    <w:rsid w:val="00364F90"/>
    <w:rsid w:val="0036504E"/>
    <w:rsid w:val="00365447"/>
    <w:rsid w:val="0036557D"/>
    <w:rsid w:val="0037249F"/>
    <w:rsid w:val="00373E64"/>
    <w:rsid w:val="00374880"/>
    <w:rsid w:val="003749BE"/>
    <w:rsid w:val="00375954"/>
    <w:rsid w:val="003759A2"/>
    <w:rsid w:val="00376263"/>
    <w:rsid w:val="003766E9"/>
    <w:rsid w:val="00377BFB"/>
    <w:rsid w:val="003800E7"/>
    <w:rsid w:val="00380591"/>
    <w:rsid w:val="00380CBA"/>
    <w:rsid w:val="00380E20"/>
    <w:rsid w:val="003813B2"/>
    <w:rsid w:val="00381A48"/>
    <w:rsid w:val="0038259F"/>
    <w:rsid w:val="003826A4"/>
    <w:rsid w:val="00382773"/>
    <w:rsid w:val="00383077"/>
    <w:rsid w:val="00383A36"/>
    <w:rsid w:val="00383B29"/>
    <w:rsid w:val="00383CCA"/>
    <w:rsid w:val="00383FD1"/>
    <w:rsid w:val="00384463"/>
    <w:rsid w:val="00384DB1"/>
    <w:rsid w:val="00385267"/>
    <w:rsid w:val="00385967"/>
    <w:rsid w:val="00385FD9"/>
    <w:rsid w:val="003874A9"/>
    <w:rsid w:val="0039093D"/>
    <w:rsid w:val="00390F19"/>
    <w:rsid w:val="003910AB"/>
    <w:rsid w:val="003910F7"/>
    <w:rsid w:val="00391596"/>
    <w:rsid w:val="00392450"/>
    <w:rsid w:val="003926C1"/>
    <w:rsid w:val="0039288C"/>
    <w:rsid w:val="003941BC"/>
    <w:rsid w:val="0039439E"/>
    <w:rsid w:val="00394E63"/>
    <w:rsid w:val="0039503F"/>
    <w:rsid w:val="00395280"/>
    <w:rsid w:val="0039623D"/>
    <w:rsid w:val="003964FB"/>
    <w:rsid w:val="00396631"/>
    <w:rsid w:val="00397A6F"/>
    <w:rsid w:val="003A026D"/>
    <w:rsid w:val="003A0275"/>
    <w:rsid w:val="003A1124"/>
    <w:rsid w:val="003A131B"/>
    <w:rsid w:val="003A17F1"/>
    <w:rsid w:val="003A1992"/>
    <w:rsid w:val="003A2117"/>
    <w:rsid w:val="003A2AA4"/>
    <w:rsid w:val="003A3034"/>
    <w:rsid w:val="003A34D2"/>
    <w:rsid w:val="003A3E9B"/>
    <w:rsid w:val="003A3EC9"/>
    <w:rsid w:val="003A4374"/>
    <w:rsid w:val="003A471B"/>
    <w:rsid w:val="003A484F"/>
    <w:rsid w:val="003A4BCD"/>
    <w:rsid w:val="003A4E09"/>
    <w:rsid w:val="003A536C"/>
    <w:rsid w:val="003A5790"/>
    <w:rsid w:val="003A57B8"/>
    <w:rsid w:val="003A62E2"/>
    <w:rsid w:val="003A6474"/>
    <w:rsid w:val="003A6715"/>
    <w:rsid w:val="003A6E79"/>
    <w:rsid w:val="003A72D5"/>
    <w:rsid w:val="003A74F5"/>
    <w:rsid w:val="003A7BED"/>
    <w:rsid w:val="003A7D5D"/>
    <w:rsid w:val="003B0002"/>
    <w:rsid w:val="003B0344"/>
    <w:rsid w:val="003B0485"/>
    <w:rsid w:val="003B0842"/>
    <w:rsid w:val="003B14A6"/>
    <w:rsid w:val="003B1668"/>
    <w:rsid w:val="003B16A4"/>
    <w:rsid w:val="003B2080"/>
    <w:rsid w:val="003B2B27"/>
    <w:rsid w:val="003B2F50"/>
    <w:rsid w:val="003B2FFE"/>
    <w:rsid w:val="003B371E"/>
    <w:rsid w:val="003B3848"/>
    <w:rsid w:val="003B3913"/>
    <w:rsid w:val="003B4516"/>
    <w:rsid w:val="003B473D"/>
    <w:rsid w:val="003B4B84"/>
    <w:rsid w:val="003B56E5"/>
    <w:rsid w:val="003B5B8E"/>
    <w:rsid w:val="003B6ACF"/>
    <w:rsid w:val="003B7157"/>
    <w:rsid w:val="003B768B"/>
    <w:rsid w:val="003B7A1A"/>
    <w:rsid w:val="003C031C"/>
    <w:rsid w:val="003C071B"/>
    <w:rsid w:val="003C0F77"/>
    <w:rsid w:val="003C10A9"/>
    <w:rsid w:val="003C1103"/>
    <w:rsid w:val="003C158E"/>
    <w:rsid w:val="003C309B"/>
    <w:rsid w:val="003C3F91"/>
    <w:rsid w:val="003C4747"/>
    <w:rsid w:val="003C6087"/>
    <w:rsid w:val="003C6B8D"/>
    <w:rsid w:val="003C70B3"/>
    <w:rsid w:val="003D00C5"/>
    <w:rsid w:val="003D1027"/>
    <w:rsid w:val="003D1BD7"/>
    <w:rsid w:val="003D1F96"/>
    <w:rsid w:val="003D2410"/>
    <w:rsid w:val="003D2477"/>
    <w:rsid w:val="003D28A3"/>
    <w:rsid w:val="003D299B"/>
    <w:rsid w:val="003D2BCA"/>
    <w:rsid w:val="003D2D82"/>
    <w:rsid w:val="003D2FA6"/>
    <w:rsid w:val="003D4052"/>
    <w:rsid w:val="003D41C2"/>
    <w:rsid w:val="003D4378"/>
    <w:rsid w:val="003D4C69"/>
    <w:rsid w:val="003D5294"/>
    <w:rsid w:val="003D5CE7"/>
    <w:rsid w:val="003D5F12"/>
    <w:rsid w:val="003D67DE"/>
    <w:rsid w:val="003D7BC6"/>
    <w:rsid w:val="003D7FEC"/>
    <w:rsid w:val="003E016F"/>
    <w:rsid w:val="003E0817"/>
    <w:rsid w:val="003E09C1"/>
    <w:rsid w:val="003E1184"/>
    <w:rsid w:val="003E1969"/>
    <w:rsid w:val="003E1D2F"/>
    <w:rsid w:val="003E1D96"/>
    <w:rsid w:val="003E30EB"/>
    <w:rsid w:val="003E3AFA"/>
    <w:rsid w:val="003E3EBE"/>
    <w:rsid w:val="003E4097"/>
    <w:rsid w:val="003E4CAB"/>
    <w:rsid w:val="003E4EB5"/>
    <w:rsid w:val="003E5ABA"/>
    <w:rsid w:val="003E5ABE"/>
    <w:rsid w:val="003E5D2F"/>
    <w:rsid w:val="003E6011"/>
    <w:rsid w:val="003E61F3"/>
    <w:rsid w:val="003E6A01"/>
    <w:rsid w:val="003E6BC6"/>
    <w:rsid w:val="003E6F1C"/>
    <w:rsid w:val="003E74B7"/>
    <w:rsid w:val="003E7BFC"/>
    <w:rsid w:val="003F0C5D"/>
    <w:rsid w:val="003F1AA0"/>
    <w:rsid w:val="003F29F2"/>
    <w:rsid w:val="003F3160"/>
    <w:rsid w:val="003F47BB"/>
    <w:rsid w:val="003F591F"/>
    <w:rsid w:val="003F5B9E"/>
    <w:rsid w:val="003F5BD8"/>
    <w:rsid w:val="003F7937"/>
    <w:rsid w:val="00400F37"/>
    <w:rsid w:val="00401200"/>
    <w:rsid w:val="00401556"/>
    <w:rsid w:val="004017A8"/>
    <w:rsid w:val="00401B6A"/>
    <w:rsid w:val="00401D98"/>
    <w:rsid w:val="0040242D"/>
    <w:rsid w:val="00402607"/>
    <w:rsid w:val="00402FFC"/>
    <w:rsid w:val="004036E6"/>
    <w:rsid w:val="004037F2"/>
    <w:rsid w:val="0040380B"/>
    <w:rsid w:val="00403E81"/>
    <w:rsid w:val="004043C1"/>
    <w:rsid w:val="00404A52"/>
    <w:rsid w:val="00405AC5"/>
    <w:rsid w:val="00405DA7"/>
    <w:rsid w:val="00405DB1"/>
    <w:rsid w:val="00405FAA"/>
    <w:rsid w:val="004065BC"/>
    <w:rsid w:val="0040663A"/>
    <w:rsid w:val="00407467"/>
    <w:rsid w:val="0040748A"/>
    <w:rsid w:val="00407909"/>
    <w:rsid w:val="00407A74"/>
    <w:rsid w:val="00410017"/>
    <w:rsid w:val="00410427"/>
    <w:rsid w:val="004106BC"/>
    <w:rsid w:val="00410AC2"/>
    <w:rsid w:val="00411914"/>
    <w:rsid w:val="0041191E"/>
    <w:rsid w:val="00411A68"/>
    <w:rsid w:val="00411F84"/>
    <w:rsid w:val="00412381"/>
    <w:rsid w:val="004130BA"/>
    <w:rsid w:val="0041398C"/>
    <w:rsid w:val="00414AE6"/>
    <w:rsid w:val="00414D29"/>
    <w:rsid w:val="004151AB"/>
    <w:rsid w:val="004154E0"/>
    <w:rsid w:val="0041579F"/>
    <w:rsid w:val="004162AC"/>
    <w:rsid w:val="00416E26"/>
    <w:rsid w:val="00417239"/>
    <w:rsid w:val="00417AE2"/>
    <w:rsid w:val="00417AF5"/>
    <w:rsid w:val="00421AA0"/>
    <w:rsid w:val="00421CD2"/>
    <w:rsid w:val="004223B9"/>
    <w:rsid w:val="00422C1F"/>
    <w:rsid w:val="00423592"/>
    <w:rsid w:val="00423EA5"/>
    <w:rsid w:val="004245E2"/>
    <w:rsid w:val="00424720"/>
    <w:rsid w:val="00424840"/>
    <w:rsid w:val="004249D9"/>
    <w:rsid w:val="00424C9E"/>
    <w:rsid w:val="00424E9C"/>
    <w:rsid w:val="00424F90"/>
    <w:rsid w:val="004252CD"/>
    <w:rsid w:val="004255D6"/>
    <w:rsid w:val="00425645"/>
    <w:rsid w:val="00425A4A"/>
    <w:rsid w:val="00425ED3"/>
    <w:rsid w:val="0042628B"/>
    <w:rsid w:val="0042634D"/>
    <w:rsid w:val="004265F2"/>
    <w:rsid w:val="00426925"/>
    <w:rsid w:val="00426CE5"/>
    <w:rsid w:val="00426D3D"/>
    <w:rsid w:val="0042725C"/>
    <w:rsid w:val="004273AF"/>
    <w:rsid w:val="004276BD"/>
    <w:rsid w:val="004277CE"/>
    <w:rsid w:val="00427B1F"/>
    <w:rsid w:val="00430908"/>
    <w:rsid w:val="004317A0"/>
    <w:rsid w:val="00431959"/>
    <w:rsid w:val="00431BEC"/>
    <w:rsid w:val="00431C34"/>
    <w:rsid w:val="004328D7"/>
    <w:rsid w:val="0043326D"/>
    <w:rsid w:val="00434604"/>
    <w:rsid w:val="004347E3"/>
    <w:rsid w:val="00434A29"/>
    <w:rsid w:val="00434BBE"/>
    <w:rsid w:val="00435274"/>
    <w:rsid w:val="0043552F"/>
    <w:rsid w:val="004356C8"/>
    <w:rsid w:val="0043585E"/>
    <w:rsid w:val="00435AB5"/>
    <w:rsid w:val="00436400"/>
    <w:rsid w:val="00436C6B"/>
    <w:rsid w:val="004377B3"/>
    <w:rsid w:val="00437FC4"/>
    <w:rsid w:val="004402A4"/>
    <w:rsid w:val="004402AE"/>
    <w:rsid w:val="00440DD9"/>
    <w:rsid w:val="00441376"/>
    <w:rsid w:val="0044198C"/>
    <w:rsid w:val="004421CE"/>
    <w:rsid w:val="004433ED"/>
    <w:rsid w:val="0044487D"/>
    <w:rsid w:val="00445E75"/>
    <w:rsid w:val="004467DF"/>
    <w:rsid w:val="00446AD5"/>
    <w:rsid w:val="00447179"/>
    <w:rsid w:val="00447479"/>
    <w:rsid w:val="00447954"/>
    <w:rsid w:val="00447E9A"/>
    <w:rsid w:val="004502FB"/>
    <w:rsid w:val="00450E11"/>
    <w:rsid w:val="0045106A"/>
    <w:rsid w:val="00451741"/>
    <w:rsid w:val="004536A4"/>
    <w:rsid w:val="00454E05"/>
    <w:rsid w:val="004554FD"/>
    <w:rsid w:val="004563F1"/>
    <w:rsid w:val="00456727"/>
    <w:rsid w:val="0045735C"/>
    <w:rsid w:val="00457AFD"/>
    <w:rsid w:val="004601C0"/>
    <w:rsid w:val="00460B5C"/>
    <w:rsid w:val="00461131"/>
    <w:rsid w:val="00461391"/>
    <w:rsid w:val="00461725"/>
    <w:rsid w:val="00462061"/>
    <w:rsid w:val="00463DE9"/>
    <w:rsid w:val="00465486"/>
    <w:rsid w:val="004655A7"/>
    <w:rsid w:val="00465861"/>
    <w:rsid w:val="0046606E"/>
    <w:rsid w:val="00467392"/>
    <w:rsid w:val="004675D3"/>
    <w:rsid w:val="004704F7"/>
    <w:rsid w:val="004712EA"/>
    <w:rsid w:val="00472CBE"/>
    <w:rsid w:val="004730DF"/>
    <w:rsid w:val="004732FC"/>
    <w:rsid w:val="00473D7E"/>
    <w:rsid w:val="00474974"/>
    <w:rsid w:val="00474C04"/>
    <w:rsid w:val="0047589B"/>
    <w:rsid w:val="00476D23"/>
    <w:rsid w:val="00476E78"/>
    <w:rsid w:val="00477AB9"/>
    <w:rsid w:val="00477C15"/>
    <w:rsid w:val="00477C22"/>
    <w:rsid w:val="004801DB"/>
    <w:rsid w:val="00480262"/>
    <w:rsid w:val="0048059B"/>
    <w:rsid w:val="00480E7B"/>
    <w:rsid w:val="00480F6C"/>
    <w:rsid w:val="00481128"/>
    <w:rsid w:val="004818CF"/>
    <w:rsid w:val="00481D5D"/>
    <w:rsid w:val="00482113"/>
    <w:rsid w:val="00482426"/>
    <w:rsid w:val="00483F01"/>
    <w:rsid w:val="0048423C"/>
    <w:rsid w:val="004842E7"/>
    <w:rsid w:val="004844AC"/>
    <w:rsid w:val="004846DE"/>
    <w:rsid w:val="004849F3"/>
    <w:rsid w:val="004850AD"/>
    <w:rsid w:val="004850C9"/>
    <w:rsid w:val="00485108"/>
    <w:rsid w:val="00485864"/>
    <w:rsid w:val="00485DB4"/>
    <w:rsid w:val="004863E6"/>
    <w:rsid w:val="00486CB6"/>
    <w:rsid w:val="00487053"/>
    <w:rsid w:val="00487D62"/>
    <w:rsid w:val="004908C9"/>
    <w:rsid w:val="00490BF4"/>
    <w:rsid w:val="00490C1C"/>
    <w:rsid w:val="00490D75"/>
    <w:rsid w:val="004914F7"/>
    <w:rsid w:val="00491F3E"/>
    <w:rsid w:val="00492037"/>
    <w:rsid w:val="00492ECB"/>
    <w:rsid w:val="0049351D"/>
    <w:rsid w:val="0049377F"/>
    <w:rsid w:val="004965BA"/>
    <w:rsid w:val="004967E0"/>
    <w:rsid w:val="00496FEC"/>
    <w:rsid w:val="00497070"/>
    <w:rsid w:val="004A0027"/>
    <w:rsid w:val="004A08D5"/>
    <w:rsid w:val="004A0A9A"/>
    <w:rsid w:val="004A130C"/>
    <w:rsid w:val="004A1361"/>
    <w:rsid w:val="004A1F9D"/>
    <w:rsid w:val="004A305F"/>
    <w:rsid w:val="004A4665"/>
    <w:rsid w:val="004A4AAA"/>
    <w:rsid w:val="004A4B40"/>
    <w:rsid w:val="004A4FD8"/>
    <w:rsid w:val="004A51B0"/>
    <w:rsid w:val="004A5736"/>
    <w:rsid w:val="004A63AA"/>
    <w:rsid w:val="004A688F"/>
    <w:rsid w:val="004A6A46"/>
    <w:rsid w:val="004A77A9"/>
    <w:rsid w:val="004B0273"/>
    <w:rsid w:val="004B0D9C"/>
    <w:rsid w:val="004B11BB"/>
    <w:rsid w:val="004B298F"/>
    <w:rsid w:val="004B29D8"/>
    <w:rsid w:val="004B2E43"/>
    <w:rsid w:val="004B351A"/>
    <w:rsid w:val="004B3747"/>
    <w:rsid w:val="004B38EE"/>
    <w:rsid w:val="004B3A48"/>
    <w:rsid w:val="004B3E73"/>
    <w:rsid w:val="004B4189"/>
    <w:rsid w:val="004B449F"/>
    <w:rsid w:val="004B5232"/>
    <w:rsid w:val="004B5320"/>
    <w:rsid w:val="004B591A"/>
    <w:rsid w:val="004B696C"/>
    <w:rsid w:val="004B6BE7"/>
    <w:rsid w:val="004B7BCC"/>
    <w:rsid w:val="004C08FF"/>
    <w:rsid w:val="004C143E"/>
    <w:rsid w:val="004C16A0"/>
    <w:rsid w:val="004C193C"/>
    <w:rsid w:val="004C2177"/>
    <w:rsid w:val="004C26AF"/>
    <w:rsid w:val="004C3229"/>
    <w:rsid w:val="004C4025"/>
    <w:rsid w:val="004C50C8"/>
    <w:rsid w:val="004C50E1"/>
    <w:rsid w:val="004C5869"/>
    <w:rsid w:val="004C6B77"/>
    <w:rsid w:val="004C777F"/>
    <w:rsid w:val="004C7937"/>
    <w:rsid w:val="004D037E"/>
    <w:rsid w:val="004D0864"/>
    <w:rsid w:val="004D0944"/>
    <w:rsid w:val="004D0DE8"/>
    <w:rsid w:val="004D1CE3"/>
    <w:rsid w:val="004D2804"/>
    <w:rsid w:val="004D2D4B"/>
    <w:rsid w:val="004D34CE"/>
    <w:rsid w:val="004D378B"/>
    <w:rsid w:val="004D3BEF"/>
    <w:rsid w:val="004D3E3B"/>
    <w:rsid w:val="004D3F4B"/>
    <w:rsid w:val="004D3FD5"/>
    <w:rsid w:val="004D47DA"/>
    <w:rsid w:val="004D5E82"/>
    <w:rsid w:val="004D60E2"/>
    <w:rsid w:val="004D6421"/>
    <w:rsid w:val="004D68B8"/>
    <w:rsid w:val="004D6CDB"/>
    <w:rsid w:val="004D71A4"/>
    <w:rsid w:val="004E00D0"/>
    <w:rsid w:val="004E16CE"/>
    <w:rsid w:val="004E1920"/>
    <w:rsid w:val="004E1AEB"/>
    <w:rsid w:val="004E1C44"/>
    <w:rsid w:val="004E3223"/>
    <w:rsid w:val="004E4615"/>
    <w:rsid w:val="004E484B"/>
    <w:rsid w:val="004E4D17"/>
    <w:rsid w:val="004E4E48"/>
    <w:rsid w:val="004E52C8"/>
    <w:rsid w:val="004E541A"/>
    <w:rsid w:val="004E5FD3"/>
    <w:rsid w:val="004E76BA"/>
    <w:rsid w:val="004E76FF"/>
    <w:rsid w:val="004E7CCA"/>
    <w:rsid w:val="004E7F62"/>
    <w:rsid w:val="004F0311"/>
    <w:rsid w:val="004F046F"/>
    <w:rsid w:val="004F0E96"/>
    <w:rsid w:val="004F0EED"/>
    <w:rsid w:val="004F1A5F"/>
    <w:rsid w:val="004F22CC"/>
    <w:rsid w:val="004F2B15"/>
    <w:rsid w:val="004F325F"/>
    <w:rsid w:val="004F4EDA"/>
    <w:rsid w:val="004F58EA"/>
    <w:rsid w:val="004F6B0C"/>
    <w:rsid w:val="004F7505"/>
    <w:rsid w:val="004F7999"/>
    <w:rsid w:val="005019B1"/>
    <w:rsid w:val="00502300"/>
    <w:rsid w:val="005033EE"/>
    <w:rsid w:val="00503C96"/>
    <w:rsid w:val="00503F7D"/>
    <w:rsid w:val="00504398"/>
    <w:rsid w:val="005052E7"/>
    <w:rsid w:val="00505334"/>
    <w:rsid w:val="00505ACB"/>
    <w:rsid w:val="00505D04"/>
    <w:rsid w:val="00506592"/>
    <w:rsid w:val="005069C8"/>
    <w:rsid w:val="00506B29"/>
    <w:rsid w:val="00506DFE"/>
    <w:rsid w:val="00510084"/>
    <w:rsid w:val="00510AD6"/>
    <w:rsid w:val="0051169D"/>
    <w:rsid w:val="00511B1C"/>
    <w:rsid w:val="00511F93"/>
    <w:rsid w:val="00512213"/>
    <w:rsid w:val="00512BDF"/>
    <w:rsid w:val="00513458"/>
    <w:rsid w:val="00513D79"/>
    <w:rsid w:val="00514477"/>
    <w:rsid w:val="0051479C"/>
    <w:rsid w:val="005152A3"/>
    <w:rsid w:val="005158E6"/>
    <w:rsid w:val="00515B6F"/>
    <w:rsid w:val="005162B3"/>
    <w:rsid w:val="00516D44"/>
    <w:rsid w:val="00516DFF"/>
    <w:rsid w:val="005174E3"/>
    <w:rsid w:val="005179CE"/>
    <w:rsid w:val="00520C40"/>
    <w:rsid w:val="00520CAA"/>
    <w:rsid w:val="005212F0"/>
    <w:rsid w:val="00521A61"/>
    <w:rsid w:val="00521A79"/>
    <w:rsid w:val="0052201C"/>
    <w:rsid w:val="00522457"/>
    <w:rsid w:val="00522C96"/>
    <w:rsid w:val="0052323D"/>
    <w:rsid w:val="00523361"/>
    <w:rsid w:val="00523AF0"/>
    <w:rsid w:val="00523F7A"/>
    <w:rsid w:val="005245D0"/>
    <w:rsid w:val="00524981"/>
    <w:rsid w:val="00525580"/>
    <w:rsid w:val="00525F30"/>
    <w:rsid w:val="005261EA"/>
    <w:rsid w:val="00526410"/>
    <w:rsid w:val="00526AAF"/>
    <w:rsid w:val="005306E8"/>
    <w:rsid w:val="0053091D"/>
    <w:rsid w:val="00530A3E"/>
    <w:rsid w:val="00530FAF"/>
    <w:rsid w:val="00531684"/>
    <w:rsid w:val="00531B5F"/>
    <w:rsid w:val="00531DD0"/>
    <w:rsid w:val="0053259C"/>
    <w:rsid w:val="00532BD2"/>
    <w:rsid w:val="0053320C"/>
    <w:rsid w:val="005334C4"/>
    <w:rsid w:val="00533A5B"/>
    <w:rsid w:val="00533DE2"/>
    <w:rsid w:val="005341CF"/>
    <w:rsid w:val="005342B0"/>
    <w:rsid w:val="0053450F"/>
    <w:rsid w:val="005355A9"/>
    <w:rsid w:val="00536387"/>
    <w:rsid w:val="00536A49"/>
    <w:rsid w:val="00536C73"/>
    <w:rsid w:val="00536FD2"/>
    <w:rsid w:val="00537ABC"/>
    <w:rsid w:val="005402B6"/>
    <w:rsid w:val="005404C8"/>
    <w:rsid w:val="00540EC6"/>
    <w:rsid w:val="00540F31"/>
    <w:rsid w:val="00541985"/>
    <w:rsid w:val="00541AFA"/>
    <w:rsid w:val="005421AF"/>
    <w:rsid w:val="00542A76"/>
    <w:rsid w:val="00543535"/>
    <w:rsid w:val="005436F2"/>
    <w:rsid w:val="00543C93"/>
    <w:rsid w:val="00543DA9"/>
    <w:rsid w:val="0054444C"/>
    <w:rsid w:val="00544792"/>
    <w:rsid w:val="00544C65"/>
    <w:rsid w:val="005458E7"/>
    <w:rsid w:val="00545E15"/>
    <w:rsid w:val="00546515"/>
    <w:rsid w:val="00546D0F"/>
    <w:rsid w:val="005504E5"/>
    <w:rsid w:val="0055068A"/>
    <w:rsid w:val="00550758"/>
    <w:rsid w:val="00550773"/>
    <w:rsid w:val="00551642"/>
    <w:rsid w:val="00551BC7"/>
    <w:rsid w:val="00552C9D"/>
    <w:rsid w:val="005530E7"/>
    <w:rsid w:val="00553384"/>
    <w:rsid w:val="00553C1E"/>
    <w:rsid w:val="005543B1"/>
    <w:rsid w:val="0055511A"/>
    <w:rsid w:val="0055524D"/>
    <w:rsid w:val="00555783"/>
    <w:rsid w:val="005565EA"/>
    <w:rsid w:val="005571EE"/>
    <w:rsid w:val="0056011E"/>
    <w:rsid w:val="00560F05"/>
    <w:rsid w:val="00561404"/>
    <w:rsid w:val="005617EE"/>
    <w:rsid w:val="00561BD7"/>
    <w:rsid w:val="00561E33"/>
    <w:rsid w:val="00562504"/>
    <w:rsid w:val="0056269D"/>
    <w:rsid w:val="00562B61"/>
    <w:rsid w:val="005637DA"/>
    <w:rsid w:val="00563CFE"/>
    <w:rsid w:val="0056524C"/>
    <w:rsid w:val="00565904"/>
    <w:rsid w:val="00565B61"/>
    <w:rsid w:val="00565D93"/>
    <w:rsid w:val="00565FBD"/>
    <w:rsid w:val="00566B31"/>
    <w:rsid w:val="00566F5B"/>
    <w:rsid w:val="00567E61"/>
    <w:rsid w:val="00570486"/>
    <w:rsid w:val="00570723"/>
    <w:rsid w:val="00570CEB"/>
    <w:rsid w:val="0057190B"/>
    <w:rsid w:val="005722AE"/>
    <w:rsid w:val="00572A92"/>
    <w:rsid w:val="00572AB1"/>
    <w:rsid w:val="0057320B"/>
    <w:rsid w:val="0057324D"/>
    <w:rsid w:val="005735B2"/>
    <w:rsid w:val="0057433C"/>
    <w:rsid w:val="00574433"/>
    <w:rsid w:val="00574822"/>
    <w:rsid w:val="00574956"/>
    <w:rsid w:val="005750F7"/>
    <w:rsid w:val="00575E69"/>
    <w:rsid w:val="00575E6A"/>
    <w:rsid w:val="0057737E"/>
    <w:rsid w:val="005777A9"/>
    <w:rsid w:val="005821CA"/>
    <w:rsid w:val="005823A6"/>
    <w:rsid w:val="005823F9"/>
    <w:rsid w:val="0058243C"/>
    <w:rsid w:val="005828EB"/>
    <w:rsid w:val="00582C36"/>
    <w:rsid w:val="00582F7A"/>
    <w:rsid w:val="00584422"/>
    <w:rsid w:val="00584549"/>
    <w:rsid w:val="00584F14"/>
    <w:rsid w:val="00585F47"/>
    <w:rsid w:val="00586549"/>
    <w:rsid w:val="00586BB2"/>
    <w:rsid w:val="00587037"/>
    <w:rsid w:val="00587646"/>
    <w:rsid w:val="0059060D"/>
    <w:rsid w:val="005906B1"/>
    <w:rsid w:val="00592E71"/>
    <w:rsid w:val="00594217"/>
    <w:rsid w:val="00594C9C"/>
    <w:rsid w:val="00596F3E"/>
    <w:rsid w:val="00597DC2"/>
    <w:rsid w:val="005A02DA"/>
    <w:rsid w:val="005A10F5"/>
    <w:rsid w:val="005A213E"/>
    <w:rsid w:val="005A2516"/>
    <w:rsid w:val="005A2BE3"/>
    <w:rsid w:val="005A3053"/>
    <w:rsid w:val="005A36F5"/>
    <w:rsid w:val="005A3704"/>
    <w:rsid w:val="005A40CE"/>
    <w:rsid w:val="005A46A9"/>
    <w:rsid w:val="005A4AF2"/>
    <w:rsid w:val="005A4C43"/>
    <w:rsid w:val="005A51CD"/>
    <w:rsid w:val="005A5359"/>
    <w:rsid w:val="005A56D3"/>
    <w:rsid w:val="005A5D19"/>
    <w:rsid w:val="005A672C"/>
    <w:rsid w:val="005A6B4B"/>
    <w:rsid w:val="005A75CE"/>
    <w:rsid w:val="005A79E5"/>
    <w:rsid w:val="005B0203"/>
    <w:rsid w:val="005B3101"/>
    <w:rsid w:val="005B375F"/>
    <w:rsid w:val="005B3846"/>
    <w:rsid w:val="005B3E2B"/>
    <w:rsid w:val="005B3E55"/>
    <w:rsid w:val="005B45CA"/>
    <w:rsid w:val="005B4F4A"/>
    <w:rsid w:val="005B58AF"/>
    <w:rsid w:val="005B5926"/>
    <w:rsid w:val="005B5FEB"/>
    <w:rsid w:val="005B61CB"/>
    <w:rsid w:val="005B66B7"/>
    <w:rsid w:val="005B7A80"/>
    <w:rsid w:val="005C0E3D"/>
    <w:rsid w:val="005C0FD7"/>
    <w:rsid w:val="005C1566"/>
    <w:rsid w:val="005C16CD"/>
    <w:rsid w:val="005C1A3C"/>
    <w:rsid w:val="005C1DAA"/>
    <w:rsid w:val="005C20E5"/>
    <w:rsid w:val="005C2451"/>
    <w:rsid w:val="005C24B2"/>
    <w:rsid w:val="005C2601"/>
    <w:rsid w:val="005C2811"/>
    <w:rsid w:val="005C3815"/>
    <w:rsid w:val="005C3DF5"/>
    <w:rsid w:val="005C4C28"/>
    <w:rsid w:val="005C5046"/>
    <w:rsid w:val="005C5CB9"/>
    <w:rsid w:val="005C6A79"/>
    <w:rsid w:val="005C79A7"/>
    <w:rsid w:val="005C7C62"/>
    <w:rsid w:val="005D047B"/>
    <w:rsid w:val="005D0F7A"/>
    <w:rsid w:val="005D125C"/>
    <w:rsid w:val="005D1761"/>
    <w:rsid w:val="005D18A4"/>
    <w:rsid w:val="005D193D"/>
    <w:rsid w:val="005D1AD6"/>
    <w:rsid w:val="005D2BC5"/>
    <w:rsid w:val="005D37EE"/>
    <w:rsid w:val="005D3FFC"/>
    <w:rsid w:val="005D4196"/>
    <w:rsid w:val="005D4527"/>
    <w:rsid w:val="005D50CD"/>
    <w:rsid w:val="005D5A70"/>
    <w:rsid w:val="005D71A7"/>
    <w:rsid w:val="005D7261"/>
    <w:rsid w:val="005D775A"/>
    <w:rsid w:val="005E11AE"/>
    <w:rsid w:val="005E1A56"/>
    <w:rsid w:val="005E1FBB"/>
    <w:rsid w:val="005E2E99"/>
    <w:rsid w:val="005E2FEA"/>
    <w:rsid w:val="005E30A4"/>
    <w:rsid w:val="005E45B9"/>
    <w:rsid w:val="005E4902"/>
    <w:rsid w:val="005E4EC7"/>
    <w:rsid w:val="005E646D"/>
    <w:rsid w:val="005E6618"/>
    <w:rsid w:val="005E729F"/>
    <w:rsid w:val="005E7A29"/>
    <w:rsid w:val="005F096B"/>
    <w:rsid w:val="005F0AD6"/>
    <w:rsid w:val="005F0FE5"/>
    <w:rsid w:val="005F1C73"/>
    <w:rsid w:val="005F313E"/>
    <w:rsid w:val="005F32F3"/>
    <w:rsid w:val="005F39F3"/>
    <w:rsid w:val="005F3C16"/>
    <w:rsid w:val="005F481B"/>
    <w:rsid w:val="005F5A2A"/>
    <w:rsid w:val="005F76AB"/>
    <w:rsid w:val="005F7C93"/>
    <w:rsid w:val="005F7E93"/>
    <w:rsid w:val="0060063C"/>
    <w:rsid w:val="00600C4C"/>
    <w:rsid w:val="00601381"/>
    <w:rsid w:val="00601613"/>
    <w:rsid w:val="00601C08"/>
    <w:rsid w:val="00602119"/>
    <w:rsid w:val="0060226C"/>
    <w:rsid w:val="00602969"/>
    <w:rsid w:val="00604646"/>
    <w:rsid w:val="00604664"/>
    <w:rsid w:val="00605206"/>
    <w:rsid w:val="00606642"/>
    <w:rsid w:val="0060734E"/>
    <w:rsid w:val="00607B02"/>
    <w:rsid w:val="00610364"/>
    <w:rsid w:val="00610AB1"/>
    <w:rsid w:val="00610B9E"/>
    <w:rsid w:val="006112B3"/>
    <w:rsid w:val="00611D18"/>
    <w:rsid w:val="006124AB"/>
    <w:rsid w:val="00612CB2"/>
    <w:rsid w:val="00612DF8"/>
    <w:rsid w:val="00612E8B"/>
    <w:rsid w:val="00613A00"/>
    <w:rsid w:val="00614987"/>
    <w:rsid w:val="00615F49"/>
    <w:rsid w:val="00615FDC"/>
    <w:rsid w:val="006165F2"/>
    <w:rsid w:val="00616677"/>
    <w:rsid w:val="006168CA"/>
    <w:rsid w:val="00616DDD"/>
    <w:rsid w:val="00616EB7"/>
    <w:rsid w:val="00617074"/>
    <w:rsid w:val="00617B67"/>
    <w:rsid w:val="00617C81"/>
    <w:rsid w:val="00617CD5"/>
    <w:rsid w:val="00617DCA"/>
    <w:rsid w:val="006202F6"/>
    <w:rsid w:val="00620A4B"/>
    <w:rsid w:val="0062309C"/>
    <w:rsid w:val="00623684"/>
    <w:rsid w:val="00623BB3"/>
    <w:rsid w:val="00623DC0"/>
    <w:rsid w:val="006240C5"/>
    <w:rsid w:val="006242FB"/>
    <w:rsid w:val="00624A33"/>
    <w:rsid w:val="0062503B"/>
    <w:rsid w:val="00625350"/>
    <w:rsid w:val="006254A4"/>
    <w:rsid w:val="006259E7"/>
    <w:rsid w:val="006261DE"/>
    <w:rsid w:val="00626213"/>
    <w:rsid w:val="00626A0B"/>
    <w:rsid w:val="00626ADA"/>
    <w:rsid w:val="00626FD6"/>
    <w:rsid w:val="006270D3"/>
    <w:rsid w:val="0062736B"/>
    <w:rsid w:val="00630B87"/>
    <w:rsid w:val="0063108E"/>
    <w:rsid w:val="0063164B"/>
    <w:rsid w:val="006316BA"/>
    <w:rsid w:val="00631A5E"/>
    <w:rsid w:val="00631AC9"/>
    <w:rsid w:val="00631AF0"/>
    <w:rsid w:val="00631EE4"/>
    <w:rsid w:val="00632330"/>
    <w:rsid w:val="00632796"/>
    <w:rsid w:val="00632AC1"/>
    <w:rsid w:val="00633959"/>
    <w:rsid w:val="0063403D"/>
    <w:rsid w:val="00634625"/>
    <w:rsid w:val="006347E6"/>
    <w:rsid w:val="00634EE2"/>
    <w:rsid w:val="0063610C"/>
    <w:rsid w:val="00636BF6"/>
    <w:rsid w:val="00636DD1"/>
    <w:rsid w:val="006372C2"/>
    <w:rsid w:val="00637699"/>
    <w:rsid w:val="006404F7"/>
    <w:rsid w:val="00641A2C"/>
    <w:rsid w:val="006422F4"/>
    <w:rsid w:val="00642357"/>
    <w:rsid w:val="00642DA0"/>
    <w:rsid w:val="00643D8C"/>
    <w:rsid w:val="00643FE3"/>
    <w:rsid w:val="00644569"/>
    <w:rsid w:val="00645C03"/>
    <w:rsid w:val="006462B4"/>
    <w:rsid w:val="006470B1"/>
    <w:rsid w:val="0065004A"/>
    <w:rsid w:val="006507B9"/>
    <w:rsid w:val="00650CF6"/>
    <w:rsid w:val="0065171C"/>
    <w:rsid w:val="00652997"/>
    <w:rsid w:val="00652A0F"/>
    <w:rsid w:val="00652C54"/>
    <w:rsid w:val="006534A2"/>
    <w:rsid w:val="0065443C"/>
    <w:rsid w:val="00655538"/>
    <w:rsid w:val="0065639F"/>
    <w:rsid w:val="00656480"/>
    <w:rsid w:val="00656619"/>
    <w:rsid w:val="00656C05"/>
    <w:rsid w:val="00656EBC"/>
    <w:rsid w:val="006603E7"/>
    <w:rsid w:val="006606CF"/>
    <w:rsid w:val="006607FF"/>
    <w:rsid w:val="00661490"/>
    <w:rsid w:val="00661496"/>
    <w:rsid w:val="00661C0E"/>
    <w:rsid w:val="0066273C"/>
    <w:rsid w:val="00663D62"/>
    <w:rsid w:val="0066404E"/>
    <w:rsid w:val="00664A45"/>
    <w:rsid w:val="006667E5"/>
    <w:rsid w:val="00666B54"/>
    <w:rsid w:val="006672B3"/>
    <w:rsid w:val="00667380"/>
    <w:rsid w:val="006679C7"/>
    <w:rsid w:val="00667AD3"/>
    <w:rsid w:val="00670278"/>
    <w:rsid w:val="006705B3"/>
    <w:rsid w:val="006706D3"/>
    <w:rsid w:val="0067072C"/>
    <w:rsid w:val="00670B7F"/>
    <w:rsid w:val="006714D6"/>
    <w:rsid w:val="0067161B"/>
    <w:rsid w:val="00671A75"/>
    <w:rsid w:val="00672437"/>
    <w:rsid w:val="00673CB6"/>
    <w:rsid w:val="00674BB6"/>
    <w:rsid w:val="00675B58"/>
    <w:rsid w:val="006812EC"/>
    <w:rsid w:val="006819BF"/>
    <w:rsid w:val="006824FA"/>
    <w:rsid w:val="0068372F"/>
    <w:rsid w:val="00683F2A"/>
    <w:rsid w:val="006844FE"/>
    <w:rsid w:val="006846C3"/>
    <w:rsid w:val="00684AE8"/>
    <w:rsid w:val="0068666A"/>
    <w:rsid w:val="006879B6"/>
    <w:rsid w:val="00692633"/>
    <w:rsid w:val="0069275E"/>
    <w:rsid w:val="00692CF8"/>
    <w:rsid w:val="00694193"/>
    <w:rsid w:val="006942EB"/>
    <w:rsid w:val="00694C90"/>
    <w:rsid w:val="00694D1F"/>
    <w:rsid w:val="00695583"/>
    <w:rsid w:val="006955E3"/>
    <w:rsid w:val="00695A54"/>
    <w:rsid w:val="00695D11"/>
    <w:rsid w:val="0069651A"/>
    <w:rsid w:val="006967BC"/>
    <w:rsid w:val="00697299"/>
    <w:rsid w:val="006975F9"/>
    <w:rsid w:val="00697822"/>
    <w:rsid w:val="006A0025"/>
    <w:rsid w:val="006A0120"/>
    <w:rsid w:val="006A09BC"/>
    <w:rsid w:val="006A1519"/>
    <w:rsid w:val="006A2E56"/>
    <w:rsid w:val="006A317A"/>
    <w:rsid w:val="006A3344"/>
    <w:rsid w:val="006A3469"/>
    <w:rsid w:val="006A42A9"/>
    <w:rsid w:val="006A43E6"/>
    <w:rsid w:val="006A46DB"/>
    <w:rsid w:val="006A55A6"/>
    <w:rsid w:val="006A6875"/>
    <w:rsid w:val="006A69D6"/>
    <w:rsid w:val="006B0762"/>
    <w:rsid w:val="006B11A9"/>
    <w:rsid w:val="006B1F9B"/>
    <w:rsid w:val="006B2318"/>
    <w:rsid w:val="006B23D1"/>
    <w:rsid w:val="006B32F3"/>
    <w:rsid w:val="006B3FE7"/>
    <w:rsid w:val="006B4812"/>
    <w:rsid w:val="006B6054"/>
    <w:rsid w:val="006B658A"/>
    <w:rsid w:val="006B79A8"/>
    <w:rsid w:val="006B7E86"/>
    <w:rsid w:val="006C03DB"/>
    <w:rsid w:val="006C0514"/>
    <w:rsid w:val="006C0724"/>
    <w:rsid w:val="006C14B5"/>
    <w:rsid w:val="006C1788"/>
    <w:rsid w:val="006C203D"/>
    <w:rsid w:val="006C2111"/>
    <w:rsid w:val="006C2191"/>
    <w:rsid w:val="006C2773"/>
    <w:rsid w:val="006C2A32"/>
    <w:rsid w:val="006C307F"/>
    <w:rsid w:val="006C41D1"/>
    <w:rsid w:val="006C4478"/>
    <w:rsid w:val="006C536D"/>
    <w:rsid w:val="006C5AF9"/>
    <w:rsid w:val="006C62EC"/>
    <w:rsid w:val="006C6341"/>
    <w:rsid w:val="006C642E"/>
    <w:rsid w:val="006C6B19"/>
    <w:rsid w:val="006C7C0D"/>
    <w:rsid w:val="006D05B8"/>
    <w:rsid w:val="006D05EE"/>
    <w:rsid w:val="006D1373"/>
    <w:rsid w:val="006D169C"/>
    <w:rsid w:val="006D18A9"/>
    <w:rsid w:val="006D1A50"/>
    <w:rsid w:val="006D1B7A"/>
    <w:rsid w:val="006D1DED"/>
    <w:rsid w:val="006D2028"/>
    <w:rsid w:val="006D21F0"/>
    <w:rsid w:val="006D23C3"/>
    <w:rsid w:val="006D2A08"/>
    <w:rsid w:val="006D2C09"/>
    <w:rsid w:val="006D337A"/>
    <w:rsid w:val="006D3838"/>
    <w:rsid w:val="006D3EC9"/>
    <w:rsid w:val="006D5CB4"/>
    <w:rsid w:val="006D6F4A"/>
    <w:rsid w:val="006D755A"/>
    <w:rsid w:val="006D78ED"/>
    <w:rsid w:val="006D7DDE"/>
    <w:rsid w:val="006D7FE0"/>
    <w:rsid w:val="006E01BC"/>
    <w:rsid w:val="006E0E5F"/>
    <w:rsid w:val="006E1E66"/>
    <w:rsid w:val="006E1F19"/>
    <w:rsid w:val="006E2525"/>
    <w:rsid w:val="006E26E7"/>
    <w:rsid w:val="006E2B76"/>
    <w:rsid w:val="006E359C"/>
    <w:rsid w:val="006E3737"/>
    <w:rsid w:val="006E3B31"/>
    <w:rsid w:val="006E43CF"/>
    <w:rsid w:val="006E47A3"/>
    <w:rsid w:val="006E4C8F"/>
    <w:rsid w:val="006E4F3E"/>
    <w:rsid w:val="006E53F4"/>
    <w:rsid w:val="006E5474"/>
    <w:rsid w:val="006E5D41"/>
    <w:rsid w:val="006E5D6F"/>
    <w:rsid w:val="006E623C"/>
    <w:rsid w:val="006E6916"/>
    <w:rsid w:val="006E752C"/>
    <w:rsid w:val="006E7A59"/>
    <w:rsid w:val="006F00DF"/>
    <w:rsid w:val="006F0529"/>
    <w:rsid w:val="006F0890"/>
    <w:rsid w:val="006F0B44"/>
    <w:rsid w:val="006F100A"/>
    <w:rsid w:val="006F121D"/>
    <w:rsid w:val="006F126B"/>
    <w:rsid w:val="006F16C5"/>
    <w:rsid w:val="006F1F3D"/>
    <w:rsid w:val="006F29D8"/>
    <w:rsid w:val="006F2A0D"/>
    <w:rsid w:val="006F30D6"/>
    <w:rsid w:val="006F3267"/>
    <w:rsid w:val="006F349E"/>
    <w:rsid w:val="006F3576"/>
    <w:rsid w:val="006F35D6"/>
    <w:rsid w:val="006F3E79"/>
    <w:rsid w:val="006F403D"/>
    <w:rsid w:val="006F49F5"/>
    <w:rsid w:val="006F4D6E"/>
    <w:rsid w:val="006F4F50"/>
    <w:rsid w:val="006F5228"/>
    <w:rsid w:val="006F56E2"/>
    <w:rsid w:val="006F5ADC"/>
    <w:rsid w:val="006F5BEA"/>
    <w:rsid w:val="006F6ABE"/>
    <w:rsid w:val="006F6EF5"/>
    <w:rsid w:val="006F6F4C"/>
    <w:rsid w:val="006F7831"/>
    <w:rsid w:val="00700DB4"/>
    <w:rsid w:val="007020FC"/>
    <w:rsid w:val="007021A1"/>
    <w:rsid w:val="00702281"/>
    <w:rsid w:val="00702398"/>
    <w:rsid w:val="00702E55"/>
    <w:rsid w:val="00703A5A"/>
    <w:rsid w:val="00704B69"/>
    <w:rsid w:val="00704C3A"/>
    <w:rsid w:val="007052BE"/>
    <w:rsid w:val="00705670"/>
    <w:rsid w:val="00705F6D"/>
    <w:rsid w:val="00706241"/>
    <w:rsid w:val="007063F2"/>
    <w:rsid w:val="007065A5"/>
    <w:rsid w:val="0070663E"/>
    <w:rsid w:val="00706F56"/>
    <w:rsid w:val="00710300"/>
    <w:rsid w:val="00710E90"/>
    <w:rsid w:val="00711E3E"/>
    <w:rsid w:val="00711F80"/>
    <w:rsid w:val="007120F4"/>
    <w:rsid w:val="007120FA"/>
    <w:rsid w:val="00712294"/>
    <w:rsid w:val="007125DD"/>
    <w:rsid w:val="00713A08"/>
    <w:rsid w:val="00713F73"/>
    <w:rsid w:val="00714071"/>
    <w:rsid w:val="007146A9"/>
    <w:rsid w:val="00714765"/>
    <w:rsid w:val="00715AD9"/>
    <w:rsid w:val="00715C4E"/>
    <w:rsid w:val="00716396"/>
    <w:rsid w:val="0071640A"/>
    <w:rsid w:val="00717A70"/>
    <w:rsid w:val="00717C75"/>
    <w:rsid w:val="00717FC8"/>
    <w:rsid w:val="00720315"/>
    <w:rsid w:val="00720924"/>
    <w:rsid w:val="0072150A"/>
    <w:rsid w:val="00721815"/>
    <w:rsid w:val="00721E66"/>
    <w:rsid w:val="00721F5A"/>
    <w:rsid w:val="00722D8E"/>
    <w:rsid w:val="007248D0"/>
    <w:rsid w:val="00724BAB"/>
    <w:rsid w:val="00724CA2"/>
    <w:rsid w:val="00726CDB"/>
    <w:rsid w:val="0072768C"/>
    <w:rsid w:val="007279ED"/>
    <w:rsid w:val="00730113"/>
    <w:rsid w:val="007308AC"/>
    <w:rsid w:val="00730AB1"/>
    <w:rsid w:val="00730BD2"/>
    <w:rsid w:val="00730C84"/>
    <w:rsid w:val="00730EAD"/>
    <w:rsid w:val="00731B41"/>
    <w:rsid w:val="00732837"/>
    <w:rsid w:val="007330D2"/>
    <w:rsid w:val="007332A2"/>
    <w:rsid w:val="007333FB"/>
    <w:rsid w:val="0073340A"/>
    <w:rsid w:val="007338C2"/>
    <w:rsid w:val="00733FC2"/>
    <w:rsid w:val="0073411F"/>
    <w:rsid w:val="00734456"/>
    <w:rsid w:val="00734A03"/>
    <w:rsid w:val="00734D16"/>
    <w:rsid w:val="00735208"/>
    <w:rsid w:val="00735501"/>
    <w:rsid w:val="00735DF9"/>
    <w:rsid w:val="00736040"/>
    <w:rsid w:val="007366A9"/>
    <w:rsid w:val="0073678C"/>
    <w:rsid w:val="00737274"/>
    <w:rsid w:val="0073799B"/>
    <w:rsid w:val="0074051A"/>
    <w:rsid w:val="007406AD"/>
    <w:rsid w:val="0074143B"/>
    <w:rsid w:val="00741847"/>
    <w:rsid w:val="00741955"/>
    <w:rsid w:val="007419F4"/>
    <w:rsid w:val="00741CAC"/>
    <w:rsid w:val="00741DF0"/>
    <w:rsid w:val="00742007"/>
    <w:rsid w:val="007431C2"/>
    <w:rsid w:val="0074338A"/>
    <w:rsid w:val="00743516"/>
    <w:rsid w:val="00743688"/>
    <w:rsid w:val="00743EF9"/>
    <w:rsid w:val="007444FF"/>
    <w:rsid w:val="00744F2D"/>
    <w:rsid w:val="00745601"/>
    <w:rsid w:val="00745F89"/>
    <w:rsid w:val="00746400"/>
    <w:rsid w:val="00746BAD"/>
    <w:rsid w:val="0074701D"/>
    <w:rsid w:val="0074748C"/>
    <w:rsid w:val="00750B53"/>
    <w:rsid w:val="00750DD9"/>
    <w:rsid w:val="00751711"/>
    <w:rsid w:val="00751F35"/>
    <w:rsid w:val="00752A1C"/>
    <w:rsid w:val="0075437E"/>
    <w:rsid w:val="007555F4"/>
    <w:rsid w:val="00755BCF"/>
    <w:rsid w:val="007561EC"/>
    <w:rsid w:val="00756291"/>
    <w:rsid w:val="0075644B"/>
    <w:rsid w:val="00756B5D"/>
    <w:rsid w:val="00756F6C"/>
    <w:rsid w:val="007570A7"/>
    <w:rsid w:val="00757383"/>
    <w:rsid w:val="00757961"/>
    <w:rsid w:val="0076067D"/>
    <w:rsid w:val="00760809"/>
    <w:rsid w:val="00760964"/>
    <w:rsid w:val="00760E6C"/>
    <w:rsid w:val="00760F74"/>
    <w:rsid w:val="00761AF5"/>
    <w:rsid w:val="00762194"/>
    <w:rsid w:val="00762DE8"/>
    <w:rsid w:val="00762E58"/>
    <w:rsid w:val="00763318"/>
    <w:rsid w:val="00763689"/>
    <w:rsid w:val="00763F53"/>
    <w:rsid w:val="00765233"/>
    <w:rsid w:val="00765581"/>
    <w:rsid w:val="00765B32"/>
    <w:rsid w:val="00765EC4"/>
    <w:rsid w:val="00766109"/>
    <w:rsid w:val="007665AA"/>
    <w:rsid w:val="00766DEF"/>
    <w:rsid w:val="00767377"/>
    <w:rsid w:val="007673BD"/>
    <w:rsid w:val="00767B3B"/>
    <w:rsid w:val="00770412"/>
    <w:rsid w:val="00770423"/>
    <w:rsid w:val="00770443"/>
    <w:rsid w:val="0077057F"/>
    <w:rsid w:val="0077059E"/>
    <w:rsid w:val="007711BA"/>
    <w:rsid w:val="00771F17"/>
    <w:rsid w:val="0077244B"/>
    <w:rsid w:val="0077247C"/>
    <w:rsid w:val="00772DB4"/>
    <w:rsid w:val="0077319B"/>
    <w:rsid w:val="00773E26"/>
    <w:rsid w:val="0077407A"/>
    <w:rsid w:val="007746DA"/>
    <w:rsid w:val="00774B93"/>
    <w:rsid w:val="0077501F"/>
    <w:rsid w:val="00775024"/>
    <w:rsid w:val="00775A2C"/>
    <w:rsid w:val="00775EE5"/>
    <w:rsid w:val="00775F23"/>
    <w:rsid w:val="007760CF"/>
    <w:rsid w:val="007768F6"/>
    <w:rsid w:val="00776CF0"/>
    <w:rsid w:val="00777D2F"/>
    <w:rsid w:val="007801DE"/>
    <w:rsid w:val="0078068C"/>
    <w:rsid w:val="00781688"/>
    <w:rsid w:val="007818D0"/>
    <w:rsid w:val="007819E2"/>
    <w:rsid w:val="00781ED3"/>
    <w:rsid w:val="00782109"/>
    <w:rsid w:val="00782D27"/>
    <w:rsid w:val="00782DE5"/>
    <w:rsid w:val="00783379"/>
    <w:rsid w:val="00783925"/>
    <w:rsid w:val="00783E0C"/>
    <w:rsid w:val="0078465D"/>
    <w:rsid w:val="00785687"/>
    <w:rsid w:val="007860B2"/>
    <w:rsid w:val="00786394"/>
    <w:rsid w:val="00786F2A"/>
    <w:rsid w:val="00787832"/>
    <w:rsid w:val="00787B6D"/>
    <w:rsid w:val="00787D44"/>
    <w:rsid w:val="00787FF5"/>
    <w:rsid w:val="00790281"/>
    <w:rsid w:val="007908DF"/>
    <w:rsid w:val="00791332"/>
    <w:rsid w:val="0079189C"/>
    <w:rsid w:val="00791FF8"/>
    <w:rsid w:val="00793835"/>
    <w:rsid w:val="00793D94"/>
    <w:rsid w:val="0079559B"/>
    <w:rsid w:val="007959C5"/>
    <w:rsid w:val="00795B14"/>
    <w:rsid w:val="0079672F"/>
    <w:rsid w:val="00796C29"/>
    <w:rsid w:val="00797FC0"/>
    <w:rsid w:val="007A041F"/>
    <w:rsid w:val="007A070C"/>
    <w:rsid w:val="007A0993"/>
    <w:rsid w:val="007A0F43"/>
    <w:rsid w:val="007A18A8"/>
    <w:rsid w:val="007A20A4"/>
    <w:rsid w:val="007A27EC"/>
    <w:rsid w:val="007A2B54"/>
    <w:rsid w:val="007A3A77"/>
    <w:rsid w:val="007A468E"/>
    <w:rsid w:val="007A483E"/>
    <w:rsid w:val="007A4BE1"/>
    <w:rsid w:val="007A6224"/>
    <w:rsid w:val="007A7537"/>
    <w:rsid w:val="007A75FE"/>
    <w:rsid w:val="007A7C07"/>
    <w:rsid w:val="007A7F04"/>
    <w:rsid w:val="007B0761"/>
    <w:rsid w:val="007B07E4"/>
    <w:rsid w:val="007B0D5A"/>
    <w:rsid w:val="007B17F1"/>
    <w:rsid w:val="007B24AB"/>
    <w:rsid w:val="007B27B0"/>
    <w:rsid w:val="007B28CD"/>
    <w:rsid w:val="007B2DBF"/>
    <w:rsid w:val="007B344D"/>
    <w:rsid w:val="007B37DD"/>
    <w:rsid w:val="007B3D3F"/>
    <w:rsid w:val="007B3D64"/>
    <w:rsid w:val="007B3E72"/>
    <w:rsid w:val="007B40C2"/>
    <w:rsid w:val="007B5402"/>
    <w:rsid w:val="007B6AE3"/>
    <w:rsid w:val="007B70C2"/>
    <w:rsid w:val="007B7E59"/>
    <w:rsid w:val="007C0003"/>
    <w:rsid w:val="007C04F9"/>
    <w:rsid w:val="007C0812"/>
    <w:rsid w:val="007C09F5"/>
    <w:rsid w:val="007C0CCB"/>
    <w:rsid w:val="007C0DFB"/>
    <w:rsid w:val="007C1FF8"/>
    <w:rsid w:val="007C2A67"/>
    <w:rsid w:val="007C3023"/>
    <w:rsid w:val="007C30B4"/>
    <w:rsid w:val="007C34DA"/>
    <w:rsid w:val="007C479E"/>
    <w:rsid w:val="007C544F"/>
    <w:rsid w:val="007C5CA3"/>
    <w:rsid w:val="007C5D34"/>
    <w:rsid w:val="007C655C"/>
    <w:rsid w:val="007C679A"/>
    <w:rsid w:val="007C689C"/>
    <w:rsid w:val="007C693C"/>
    <w:rsid w:val="007C6C9B"/>
    <w:rsid w:val="007C6E61"/>
    <w:rsid w:val="007C7519"/>
    <w:rsid w:val="007C7A3B"/>
    <w:rsid w:val="007C7C74"/>
    <w:rsid w:val="007D12CE"/>
    <w:rsid w:val="007D160D"/>
    <w:rsid w:val="007D1662"/>
    <w:rsid w:val="007D2649"/>
    <w:rsid w:val="007D29A2"/>
    <w:rsid w:val="007D3117"/>
    <w:rsid w:val="007D34D2"/>
    <w:rsid w:val="007D376A"/>
    <w:rsid w:val="007D45EE"/>
    <w:rsid w:val="007D4AD7"/>
    <w:rsid w:val="007D56E9"/>
    <w:rsid w:val="007D58D8"/>
    <w:rsid w:val="007D5D6D"/>
    <w:rsid w:val="007D6064"/>
    <w:rsid w:val="007D610A"/>
    <w:rsid w:val="007D62BE"/>
    <w:rsid w:val="007D691D"/>
    <w:rsid w:val="007D6AFA"/>
    <w:rsid w:val="007D7741"/>
    <w:rsid w:val="007E02B4"/>
    <w:rsid w:val="007E02CE"/>
    <w:rsid w:val="007E0BEB"/>
    <w:rsid w:val="007E1487"/>
    <w:rsid w:val="007E1855"/>
    <w:rsid w:val="007E2F60"/>
    <w:rsid w:val="007E2FB9"/>
    <w:rsid w:val="007E41D9"/>
    <w:rsid w:val="007E497F"/>
    <w:rsid w:val="007E4DBB"/>
    <w:rsid w:val="007E54FB"/>
    <w:rsid w:val="007E6469"/>
    <w:rsid w:val="007E65FD"/>
    <w:rsid w:val="007E6ED9"/>
    <w:rsid w:val="007E7ED0"/>
    <w:rsid w:val="007E7F0D"/>
    <w:rsid w:val="007F0033"/>
    <w:rsid w:val="007F03C5"/>
    <w:rsid w:val="007F0CC3"/>
    <w:rsid w:val="007F1580"/>
    <w:rsid w:val="007F22D2"/>
    <w:rsid w:val="007F23DE"/>
    <w:rsid w:val="007F2682"/>
    <w:rsid w:val="007F2FAC"/>
    <w:rsid w:val="007F37CB"/>
    <w:rsid w:val="007F3BB3"/>
    <w:rsid w:val="007F3DA4"/>
    <w:rsid w:val="007F3F81"/>
    <w:rsid w:val="007F4633"/>
    <w:rsid w:val="007F4E1B"/>
    <w:rsid w:val="007F4F8C"/>
    <w:rsid w:val="007F4FC2"/>
    <w:rsid w:val="007F5195"/>
    <w:rsid w:val="007F520C"/>
    <w:rsid w:val="007F569F"/>
    <w:rsid w:val="007F5C3F"/>
    <w:rsid w:val="007F5D5C"/>
    <w:rsid w:val="007F639D"/>
    <w:rsid w:val="007F6902"/>
    <w:rsid w:val="007F7088"/>
    <w:rsid w:val="007F7F6E"/>
    <w:rsid w:val="0080036D"/>
    <w:rsid w:val="00800974"/>
    <w:rsid w:val="00800A88"/>
    <w:rsid w:val="00800B7D"/>
    <w:rsid w:val="00801BE1"/>
    <w:rsid w:val="00802648"/>
    <w:rsid w:val="008027FD"/>
    <w:rsid w:val="008034B4"/>
    <w:rsid w:val="008036E3"/>
    <w:rsid w:val="0080433F"/>
    <w:rsid w:val="00804A92"/>
    <w:rsid w:val="00805264"/>
    <w:rsid w:val="008054DF"/>
    <w:rsid w:val="0080574D"/>
    <w:rsid w:val="00806255"/>
    <w:rsid w:val="00806D21"/>
    <w:rsid w:val="00807120"/>
    <w:rsid w:val="008124E2"/>
    <w:rsid w:val="0081268A"/>
    <w:rsid w:val="00812D6F"/>
    <w:rsid w:val="0081366D"/>
    <w:rsid w:val="008136FA"/>
    <w:rsid w:val="00814E86"/>
    <w:rsid w:val="008159AB"/>
    <w:rsid w:val="00815DF8"/>
    <w:rsid w:val="0081644B"/>
    <w:rsid w:val="00816501"/>
    <w:rsid w:val="00816FF3"/>
    <w:rsid w:val="008178F9"/>
    <w:rsid w:val="008217AB"/>
    <w:rsid w:val="00821862"/>
    <w:rsid w:val="00821D08"/>
    <w:rsid w:val="00821EE3"/>
    <w:rsid w:val="00823330"/>
    <w:rsid w:val="008235AD"/>
    <w:rsid w:val="00823844"/>
    <w:rsid w:val="00823BEF"/>
    <w:rsid w:val="00824722"/>
    <w:rsid w:val="00825F79"/>
    <w:rsid w:val="00826C8B"/>
    <w:rsid w:val="00826F73"/>
    <w:rsid w:val="00827399"/>
    <w:rsid w:val="008273CF"/>
    <w:rsid w:val="00827802"/>
    <w:rsid w:val="0082791F"/>
    <w:rsid w:val="00827A16"/>
    <w:rsid w:val="00827D8F"/>
    <w:rsid w:val="00827FCA"/>
    <w:rsid w:val="0083006C"/>
    <w:rsid w:val="0083008C"/>
    <w:rsid w:val="008300EF"/>
    <w:rsid w:val="00830A56"/>
    <w:rsid w:val="00830C94"/>
    <w:rsid w:val="0083103B"/>
    <w:rsid w:val="008312F2"/>
    <w:rsid w:val="008318B5"/>
    <w:rsid w:val="00831CA6"/>
    <w:rsid w:val="00832253"/>
    <w:rsid w:val="008323BC"/>
    <w:rsid w:val="0083248F"/>
    <w:rsid w:val="008324AE"/>
    <w:rsid w:val="008329A8"/>
    <w:rsid w:val="00832E7C"/>
    <w:rsid w:val="008330FE"/>
    <w:rsid w:val="00833364"/>
    <w:rsid w:val="008336DE"/>
    <w:rsid w:val="00833BB9"/>
    <w:rsid w:val="00834B11"/>
    <w:rsid w:val="00834C52"/>
    <w:rsid w:val="00834CD5"/>
    <w:rsid w:val="00834DF4"/>
    <w:rsid w:val="0083520C"/>
    <w:rsid w:val="00836A3F"/>
    <w:rsid w:val="00836BD9"/>
    <w:rsid w:val="00836F55"/>
    <w:rsid w:val="008377AD"/>
    <w:rsid w:val="0084079F"/>
    <w:rsid w:val="00840A00"/>
    <w:rsid w:val="00840A61"/>
    <w:rsid w:val="00841408"/>
    <w:rsid w:val="00841D64"/>
    <w:rsid w:val="00842149"/>
    <w:rsid w:val="008424B6"/>
    <w:rsid w:val="00842EF6"/>
    <w:rsid w:val="00843EFF"/>
    <w:rsid w:val="0084427E"/>
    <w:rsid w:val="00845790"/>
    <w:rsid w:val="0084619B"/>
    <w:rsid w:val="00847448"/>
    <w:rsid w:val="00847A14"/>
    <w:rsid w:val="00847E6B"/>
    <w:rsid w:val="008504B9"/>
    <w:rsid w:val="008517A2"/>
    <w:rsid w:val="00851CAB"/>
    <w:rsid w:val="00851E61"/>
    <w:rsid w:val="0085249C"/>
    <w:rsid w:val="00852634"/>
    <w:rsid w:val="0085323A"/>
    <w:rsid w:val="008546FB"/>
    <w:rsid w:val="0085517D"/>
    <w:rsid w:val="00855842"/>
    <w:rsid w:val="008558FB"/>
    <w:rsid w:val="00855E6D"/>
    <w:rsid w:val="008567FD"/>
    <w:rsid w:val="00856A7A"/>
    <w:rsid w:val="00856BE7"/>
    <w:rsid w:val="00857895"/>
    <w:rsid w:val="00860464"/>
    <w:rsid w:val="00860C2D"/>
    <w:rsid w:val="00860CF0"/>
    <w:rsid w:val="00860D80"/>
    <w:rsid w:val="0086182F"/>
    <w:rsid w:val="00861DF2"/>
    <w:rsid w:val="0086217A"/>
    <w:rsid w:val="008623AB"/>
    <w:rsid w:val="00862430"/>
    <w:rsid w:val="00862554"/>
    <w:rsid w:val="008635E4"/>
    <w:rsid w:val="0086363D"/>
    <w:rsid w:val="008636B1"/>
    <w:rsid w:val="0086460E"/>
    <w:rsid w:val="00864745"/>
    <w:rsid w:val="00867BB7"/>
    <w:rsid w:val="00867DD6"/>
    <w:rsid w:val="00870394"/>
    <w:rsid w:val="00870D4A"/>
    <w:rsid w:val="0087284F"/>
    <w:rsid w:val="008729AF"/>
    <w:rsid w:val="00872CF3"/>
    <w:rsid w:val="008737F8"/>
    <w:rsid w:val="008738BA"/>
    <w:rsid w:val="00873A8F"/>
    <w:rsid w:val="00873B3E"/>
    <w:rsid w:val="00873EDF"/>
    <w:rsid w:val="00874B3E"/>
    <w:rsid w:val="00874C5D"/>
    <w:rsid w:val="00875A0B"/>
    <w:rsid w:val="00875BDD"/>
    <w:rsid w:val="00876247"/>
    <w:rsid w:val="008771D8"/>
    <w:rsid w:val="00877589"/>
    <w:rsid w:val="00877BB2"/>
    <w:rsid w:val="00877BE7"/>
    <w:rsid w:val="008801E6"/>
    <w:rsid w:val="008809BE"/>
    <w:rsid w:val="00881965"/>
    <w:rsid w:val="00881D29"/>
    <w:rsid w:val="00881E63"/>
    <w:rsid w:val="00882185"/>
    <w:rsid w:val="0088334C"/>
    <w:rsid w:val="00883694"/>
    <w:rsid w:val="00884697"/>
    <w:rsid w:val="0088473B"/>
    <w:rsid w:val="00884B85"/>
    <w:rsid w:val="00884C44"/>
    <w:rsid w:val="00885785"/>
    <w:rsid w:val="00885E28"/>
    <w:rsid w:val="0088612C"/>
    <w:rsid w:val="00886CE8"/>
    <w:rsid w:val="00887AAD"/>
    <w:rsid w:val="00890160"/>
    <w:rsid w:val="008907B7"/>
    <w:rsid w:val="00890B2B"/>
    <w:rsid w:val="00890F01"/>
    <w:rsid w:val="008910BC"/>
    <w:rsid w:val="00891933"/>
    <w:rsid w:val="00891AB8"/>
    <w:rsid w:val="00891AE4"/>
    <w:rsid w:val="00892006"/>
    <w:rsid w:val="00892862"/>
    <w:rsid w:val="00892902"/>
    <w:rsid w:val="00892E53"/>
    <w:rsid w:val="00893061"/>
    <w:rsid w:val="008930DB"/>
    <w:rsid w:val="00893B7C"/>
    <w:rsid w:val="00894192"/>
    <w:rsid w:val="008945B7"/>
    <w:rsid w:val="00894A4A"/>
    <w:rsid w:val="00895DBC"/>
    <w:rsid w:val="0089654D"/>
    <w:rsid w:val="00897A98"/>
    <w:rsid w:val="008A0306"/>
    <w:rsid w:val="008A06D7"/>
    <w:rsid w:val="008A0A24"/>
    <w:rsid w:val="008A118F"/>
    <w:rsid w:val="008A154C"/>
    <w:rsid w:val="008A1DC1"/>
    <w:rsid w:val="008A3217"/>
    <w:rsid w:val="008A3911"/>
    <w:rsid w:val="008A3D30"/>
    <w:rsid w:val="008A4409"/>
    <w:rsid w:val="008A4C72"/>
    <w:rsid w:val="008A4E64"/>
    <w:rsid w:val="008A6BE9"/>
    <w:rsid w:val="008A7738"/>
    <w:rsid w:val="008B06EC"/>
    <w:rsid w:val="008B0D1C"/>
    <w:rsid w:val="008B47E4"/>
    <w:rsid w:val="008B4C16"/>
    <w:rsid w:val="008B57A9"/>
    <w:rsid w:val="008B5AFF"/>
    <w:rsid w:val="008B5B49"/>
    <w:rsid w:val="008B6121"/>
    <w:rsid w:val="008B63D3"/>
    <w:rsid w:val="008B764F"/>
    <w:rsid w:val="008B7B6A"/>
    <w:rsid w:val="008B7CAB"/>
    <w:rsid w:val="008B7EEA"/>
    <w:rsid w:val="008B7F31"/>
    <w:rsid w:val="008C0038"/>
    <w:rsid w:val="008C009D"/>
    <w:rsid w:val="008C01A8"/>
    <w:rsid w:val="008C03E4"/>
    <w:rsid w:val="008C184A"/>
    <w:rsid w:val="008C1A6A"/>
    <w:rsid w:val="008C1CAC"/>
    <w:rsid w:val="008C1F19"/>
    <w:rsid w:val="008C2925"/>
    <w:rsid w:val="008C2E01"/>
    <w:rsid w:val="008C355B"/>
    <w:rsid w:val="008C3E7A"/>
    <w:rsid w:val="008C4CD6"/>
    <w:rsid w:val="008C5380"/>
    <w:rsid w:val="008C5860"/>
    <w:rsid w:val="008C5DF0"/>
    <w:rsid w:val="008C5F20"/>
    <w:rsid w:val="008C6F5C"/>
    <w:rsid w:val="008C7ACD"/>
    <w:rsid w:val="008C7C5E"/>
    <w:rsid w:val="008D05D2"/>
    <w:rsid w:val="008D092F"/>
    <w:rsid w:val="008D0F8C"/>
    <w:rsid w:val="008D103F"/>
    <w:rsid w:val="008D1508"/>
    <w:rsid w:val="008D1663"/>
    <w:rsid w:val="008D1DFD"/>
    <w:rsid w:val="008D27F7"/>
    <w:rsid w:val="008D2869"/>
    <w:rsid w:val="008D2A2E"/>
    <w:rsid w:val="008D33E2"/>
    <w:rsid w:val="008D3C58"/>
    <w:rsid w:val="008D4B5D"/>
    <w:rsid w:val="008D5401"/>
    <w:rsid w:val="008D57E1"/>
    <w:rsid w:val="008D5A83"/>
    <w:rsid w:val="008D5F24"/>
    <w:rsid w:val="008D6001"/>
    <w:rsid w:val="008D6AD3"/>
    <w:rsid w:val="008D6AF7"/>
    <w:rsid w:val="008D6FE2"/>
    <w:rsid w:val="008D7280"/>
    <w:rsid w:val="008D7A87"/>
    <w:rsid w:val="008E0A68"/>
    <w:rsid w:val="008E0A93"/>
    <w:rsid w:val="008E0C50"/>
    <w:rsid w:val="008E0D1A"/>
    <w:rsid w:val="008E1B33"/>
    <w:rsid w:val="008E2467"/>
    <w:rsid w:val="008E2CDD"/>
    <w:rsid w:val="008E3492"/>
    <w:rsid w:val="008E3917"/>
    <w:rsid w:val="008E3C4C"/>
    <w:rsid w:val="008E4644"/>
    <w:rsid w:val="008E47E5"/>
    <w:rsid w:val="008E5205"/>
    <w:rsid w:val="008E5436"/>
    <w:rsid w:val="008E5E99"/>
    <w:rsid w:val="008E647E"/>
    <w:rsid w:val="008E7920"/>
    <w:rsid w:val="008E7AB9"/>
    <w:rsid w:val="008E7D35"/>
    <w:rsid w:val="008E7D6F"/>
    <w:rsid w:val="008E7FCE"/>
    <w:rsid w:val="008F0138"/>
    <w:rsid w:val="008F05AC"/>
    <w:rsid w:val="008F0719"/>
    <w:rsid w:val="008F1647"/>
    <w:rsid w:val="008F1B09"/>
    <w:rsid w:val="008F2775"/>
    <w:rsid w:val="008F2CCF"/>
    <w:rsid w:val="008F391A"/>
    <w:rsid w:val="008F394D"/>
    <w:rsid w:val="008F3E90"/>
    <w:rsid w:val="008F45BF"/>
    <w:rsid w:val="008F49D4"/>
    <w:rsid w:val="008F54D9"/>
    <w:rsid w:val="008F5E76"/>
    <w:rsid w:val="008F63A7"/>
    <w:rsid w:val="008F63BC"/>
    <w:rsid w:val="008F654B"/>
    <w:rsid w:val="008F7A98"/>
    <w:rsid w:val="00901393"/>
    <w:rsid w:val="009014FB"/>
    <w:rsid w:val="00901B38"/>
    <w:rsid w:val="00901BF9"/>
    <w:rsid w:val="00901FEE"/>
    <w:rsid w:val="00902196"/>
    <w:rsid w:val="00902624"/>
    <w:rsid w:val="009026E3"/>
    <w:rsid w:val="009028F4"/>
    <w:rsid w:val="00903134"/>
    <w:rsid w:val="00904416"/>
    <w:rsid w:val="00904E7F"/>
    <w:rsid w:val="009052CD"/>
    <w:rsid w:val="00906333"/>
    <w:rsid w:val="0090666F"/>
    <w:rsid w:val="00907B76"/>
    <w:rsid w:val="009107BA"/>
    <w:rsid w:val="009107DD"/>
    <w:rsid w:val="00911C0D"/>
    <w:rsid w:val="009129C4"/>
    <w:rsid w:val="00912CE3"/>
    <w:rsid w:val="009135A6"/>
    <w:rsid w:val="009139D2"/>
    <w:rsid w:val="009144D7"/>
    <w:rsid w:val="009151C0"/>
    <w:rsid w:val="00915226"/>
    <w:rsid w:val="00916F26"/>
    <w:rsid w:val="00917C3C"/>
    <w:rsid w:val="009200F0"/>
    <w:rsid w:val="00920D0D"/>
    <w:rsid w:val="00921D3B"/>
    <w:rsid w:val="0092216B"/>
    <w:rsid w:val="00922BD5"/>
    <w:rsid w:val="00922BE6"/>
    <w:rsid w:val="00922DE4"/>
    <w:rsid w:val="00923DAE"/>
    <w:rsid w:val="00923F9B"/>
    <w:rsid w:val="00924535"/>
    <w:rsid w:val="009251C0"/>
    <w:rsid w:val="00925351"/>
    <w:rsid w:val="009254A3"/>
    <w:rsid w:val="0092563C"/>
    <w:rsid w:val="009264EE"/>
    <w:rsid w:val="00926DE6"/>
    <w:rsid w:val="00927093"/>
    <w:rsid w:val="009272EE"/>
    <w:rsid w:val="009278C3"/>
    <w:rsid w:val="00931696"/>
    <w:rsid w:val="009319EA"/>
    <w:rsid w:val="00931A39"/>
    <w:rsid w:val="00932053"/>
    <w:rsid w:val="00932425"/>
    <w:rsid w:val="009334D5"/>
    <w:rsid w:val="00934040"/>
    <w:rsid w:val="0093548A"/>
    <w:rsid w:val="009364F7"/>
    <w:rsid w:val="0093686C"/>
    <w:rsid w:val="00936E0C"/>
    <w:rsid w:val="00937311"/>
    <w:rsid w:val="009409EF"/>
    <w:rsid w:val="00941F17"/>
    <w:rsid w:val="00943354"/>
    <w:rsid w:val="0094343E"/>
    <w:rsid w:val="00943F1D"/>
    <w:rsid w:val="0094458B"/>
    <w:rsid w:val="00944C39"/>
    <w:rsid w:val="00944FE6"/>
    <w:rsid w:val="009452A6"/>
    <w:rsid w:val="00945DDC"/>
    <w:rsid w:val="00946325"/>
    <w:rsid w:val="00946B01"/>
    <w:rsid w:val="009470C9"/>
    <w:rsid w:val="00947275"/>
    <w:rsid w:val="009475F6"/>
    <w:rsid w:val="00947CE4"/>
    <w:rsid w:val="00950064"/>
    <w:rsid w:val="00950461"/>
    <w:rsid w:val="00950ED5"/>
    <w:rsid w:val="0095140B"/>
    <w:rsid w:val="00951628"/>
    <w:rsid w:val="00951C96"/>
    <w:rsid w:val="00951F98"/>
    <w:rsid w:val="009533C4"/>
    <w:rsid w:val="00953553"/>
    <w:rsid w:val="009545FA"/>
    <w:rsid w:val="00954938"/>
    <w:rsid w:val="0095541C"/>
    <w:rsid w:val="00955AF5"/>
    <w:rsid w:val="00955CAB"/>
    <w:rsid w:val="00956116"/>
    <w:rsid w:val="00960470"/>
    <w:rsid w:val="0096069C"/>
    <w:rsid w:val="00960DB8"/>
    <w:rsid w:val="00961661"/>
    <w:rsid w:val="009617A2"/>
    <w:rsid w:val="00961949"/>
    <w:rsid w:val="00961FD8"/>
    <w:rsid w:val="009623AB"/>
    <w:rsid w:val="00962C3B"/>
    <w:rsid w:val="00963ABE"/>
    <w:rsid w:val="00963DEA"/>
    <w:rsid w:val="009652D6"/>
    <w:rsid w:val="009658B7"/>
    <w:rsid w:val="00965D8E"/>
    <w:rsid w:val="00965E86"/>
    <w:rsid w:val="00966056"/>
    <w:rsid w:val="009664FF"/>
    <w:rsid w:val="00966927"/>
    <w:rsid w:val="00966EEB"/>
    <w:rsid w:val="00967731"/>
    <w:rsid w:val="00967ACB"/>
    <w:rsid w:val="00967CF6"/>
    <w:rsid w:val="00967EC4"/>
    <w:rsid w:val="009715E2"/>
    <w:rsid w:val="00971618"/>
    <w:rsid w:val="00972918"/>
    <w:rsid w:val="00972A26"/>
    <w:rsid w:val="00972D7D"/>
    <w:rsid w:val="00973AFC"/>
    <w:rsid w:val="009749BA"/>
    <w:rsid w:val="009749F6"/>
    <w:rsid w:val="009751DF"/>
    <w:rsid w:val="009759F1"/>
    <w:rsid w:val="009759FD"/>
    <w:rsid w:val="00976C9C"/>
    <w:rsid w:val="0098194A"/>
    <w:rsid w:val="00981AD6"/>
    <w:rsid w:val="00981E2E"/>
    <w:rsid w:val="00982631"/>
    <w:rsid w:val="00982D13"/>
    <w:rsid w:val="0098344F"/>
    <w:rsid w:val="00984123"/>
    <w:rsid w:val="0098529A"/>
    <w:rsid w:val="00985A16"/>
    <w:rsid w:val="009862A4"/>
    <w:rsid w:val="0098703A"/>
    <w:rsid w:val="00987220"/>
    <w:rsid w:val="0098739B"/>
    <w:rsid w:val="009875DE"/>
    <w:rsid w:val="00987F13"/>
    <w:rsid w:val="009900C3"/>
    <w:rsid w:val="009905C2"/>
    <w:rsid w:val="00990906"/>
    <w:rsid w:val="009909D0"/>
    <w:rsid w:val="00990D47"/>
    <w:rsid w:val="00991697"/>
    <w:rsid w:val="0099174B"/>
    <w:rsid w:val="00992A2B"/>
    <w:rsid w:val="00993CB3"/>
    <w:rsid w:val="0099438F"/>
    <w:rsid w:val="00994462"/>
    <w:rsid w:val="009944A3"/>
    <w:rsid w:val="00996680"/>
    <w:rsid w:val="00997A4C"/>
    <w:rsid w:val="009A0D5C"/>
    <w:rsid w:val="009A0E28"/>
    <w:rsid w:val="009A0E56"/>
    <w:rsid w:val="009A1BAA"/>
    <w:rsid w:val="009A2337"/>
    <w:rsid w:val="009A2649"/>
    <w:rsid w:val="009A282D"/>
    <w:rsid w:val="009A3220"/>
    <w:rsid w:val="009A3952"/>
    <w:rsid w:val="009A39AC"/>
    <w:rsid w:val="009A39F7"/>
    <w:rsid w:val="009A4A7C"/>
    <w:rsid w:val="009A4C0F"/>
    <w:rsid w:val="009A5B49"/>
    <w:rsid w:val="009A624E"/>
    <w:rsid w:val="009A643D"/>
    <w:rsid w:val="009A665F"/>
    <w:rsid w:val="009A6853"/>
    <w:rsid w:val="009A6A17"/>
    <w:rsid w:val="009A6DD3"/>
    <w:rsid w:val="009A7B87"/>
    <w:rsid w:val="009B0288"/>
    <w:rsid w:val="009B08DC"/>
    <w:rsid w:val="009B1D80"/>
    <w:rsid w:val="009B240A"/>
    <w:rsid w:val="009B2451"/>
    <w:rsid w:val="009B2543"/>
    <w:rsid w:val="009B32AD"/>
    <w:rsid w:val="009B37B3"/>
    <w:rsid w:val="009B3D3F"/>
    <w:rsid w:val="009B4B8A"/>
    <w:rsid w:val="009B6108"/>
    <w:rsid w:val="009B6AEA"/>
    <w:rsid w:val="009B6EFA"/>
    <w:rsid w:val="009B739A"/>
    <w:rsid w:val="009C0183"/>
    <w:rsid w:val="009C0238"/>
    <w:rsid w:val="009C1580"/>
    <w:rsid w:val="009C20E2"/>
    <w:rsid w:val="009C2EF8"/>
    <w:rsid w:val="009C2F87"/>
    <w:rsid w:val="009C33D2"/>
    <w:rsid w:val="009C3D0E"/>
    <w:rsid w:val="009C40B1"/>
    <w:rsid w:val="009C53F4"/>
    <w:rsid w:val="009C5518"/>
    <w:rsid w:val="009C5CBF"/>
    <w:rsid w:val="009C637F"/>
    <w:rsid w:val="009C6631"/>
    <w:rsid w:val="009C6C46"/>
    <w:rsid w:val="009C74EF"/>
    <w:rsid w:val="009C7A85"/>
    <w:rsid w:val="009C7EB3"/>
    <w:rsid w:val="009D055B"/>
    <w:rsid w:val="009D0E4E"/>
    <w:rsid w:val="009D0EFA"/>
    <w:rsid w:val="009D152C"/>
    <w:rsid w:val="009D1A47"/>
    <w:rsid w:val="009D203C"/>
    <w:rsid w:val="009D2430"/>
    <w:rsid w:val="009D2974"/>
    <w:rsid w:val="009D3EEA"/>
    <w:rsid w:val="009D4214"/>
    <w:rsid w:val="009D44EC"/>
    <w:rsid w:val="009D46F1"/>
    <w:rsid w:val="009D6147"/>
    <w:rsid w:val="009D6DF8"/>
    <w:rsid w:val="009E044A"/>
    <w:rsid w:val="009E0C9F"/>
    <w:rsid w:val="009E219F"/>
    <w:rsid w:val="009E21CB"/>
    <w:rsid w:val="009E2245"/>
    <w:rsid w:val="009E2603"/>
    <w:rsid w:val="009E2E58"/>
    <w:rsid w:val="009E3546"/>
    <w:rsid w:val="009E3F02"/>
    <w:rsid w:val="009E44DF"/>
    <w:rsid w:val="009E495A"/>
    <w:rsid w:val="009E4D31"/>
    <w:rsid w:val="009E4D5B"/>
    <w:rsid w:val="009E4D98"/>
    <w:rsid w:val="009E5217"/>
    <w:rsid w:val="009E5BB5"/>
    <w:rsid w:val="009E642E"/>
    <w:rsid w:val="009E6487"/>
    <w:rsid w:val="009E64C3"/>
    <w:rsid w:val="009E6999"/>
    <w:rsid w:val="009E6F3A"/>
    <w:rsid w:val="009E702A"/>
    <w:rsid w:val="009E7FC2"/>
    <w:rsid w:val="009F0687"/>
    <w:rsid w:val="009F1545"/>
    <w:rsid w:val="009F1CFF"/>
    <w:rsid w:val="009F311B"/>
    <w:rsid w:val="009F37A6"/>
    <w:rsid w:val="009F3A38"/>
    <w:rsid w:val="009F3CA4"/>
    <w:rsid w:val="009F4E49"/>
    <w:rsid w:val="009F5486"/>
    <w:rsid w:val="009F5502"/>
    <w:rsid w:val="009F5712"/>
    <w:rsid w:val="009F6913"/>
    <w:rsid w:val="009F6D17"/>
    <w:rsid w:val="009F74A2"/>
    <w:rsid w:val="009F7612"/>
    <w:rsid w:val="009F76C3"/>
    <w:rsid w:val="009F7F11"/>
    <w:rsid w:val="00A0109E"/>
    <w:rsid w:val="00A02729"/>
    <w:rsid w:val="00A028CB"/>
    <w:rsid w:val="00A04732"/>
    <w:rsid w:val="00A04CB7"/>
    <w:rsid w:val="00A06025"/>
    <w:rsid w:val="00A06442"/>
    <w:rsid w:val="00A06B9C"/>
    <w:rsid w:val="00A071B8"/>
    <w:rsid w:val="00A0777B"/>
    <w:rsid w:val="00A07A5F"/>
    <w:rsid w:val="00A107E0"/>
    <w:rsid w:val="00A10FB1"/>
    <w:rsid w:val="00A11047"/>
    <w:rsid w:val="00A11CF2"/>
    <w:rsid w:val="00A11E03"/>
    <w:rsid w:val="00A120D7"/>
    <w:rsid w:val="00A12763"/>
    <w:rsid w:val="00A12C73"/>
    <w:rsid w:val="00A12E81"/>
    <w:rsid w:val="00A133CB"/>
    <w:rsid w:val="00A13759"/>
    <w:rsid w:val="00A13838"/>
    <w:rsid w:val="00A13E68"/>
    <w:rsid w:val="00A13FBA"/>
    <w:rsid w:val="00A145F6"/>
    <w:rsid w:val="00A14B92"/>
    <w:rsid w:val="00A14EDB"/>
    <w:rsid w:val="00A14FCF"/>
    <w:rsid w:val="00A16E7E"/>
    <w:rsid w:val="00A17669"/>
    <w:rsid w:val="00A176BE"/>
    <w:rsid w:val="00A1798B"/>
    <w:rsid w:val="00A17C56"/>
    <w:rsid w:val="00A17D2B"/>
    <w:rsid w:val="00A202FB"/>
    <w:rsid w:val="00A20964"/>
    <w:rsid w:val="00A2120E"/>
    <w:rsid w:val="00A21683"/>
    <w:rsid w:val="00A21C3C"/>
    <w:rsid w:val="00A21F31"/>
    <w:rsid w:val="00A23426"/>
    <w:rsid w:val="00A237B2"/>
    <w:rsid w:val="00A23856"/>
    <w:rsid w:val="00A2471D"/>
    <w:rsid w:val="00A25238"/>
    <w:rsid w:val="00A2618B"/>
    <w:rsid w:val="00A2634F"/>
    <w:rsid w:val="00A268B9"/>
    <w:rsid w:val="00A26ACB"/>
    <w:rsid w:val="00A26C5A"/>
    <w:rsid w:val="00A26D80"/>
    <w:rsid w:val="00A27196"/>
    <w:rsid w:val="00A271DF"/>
    <w:rsid w:val="00A27294"/>
    <w:rsid w:val="00A3075C"/>
    <w:rsid w:val="00A30993"/>
    <w:rsid w:val="00A31B35"/>
    <w:rsid w:val="00A31D2D"/>
    <w:rsid w:val="00A32E40"/>
    <w:rsid w:val="00A33051"/>
    <w:rsid w:val="00A33535"/>
    <w:rsid w:val="00A33D00"/>
    <w:rsid w:val="00A33D94"/>
    <w:rsid w:val="00A341F6"/>
    <w:rsid w:val="00A34378"/>
    <w:rsid w:val="00A35098"/>
    <w:rsid w:val="00A3591C"/>
    <w:rsid w:val="00A359CC"/>
    <w:rsid w:val="00A36B2C"/>
    <w:rsid w:val="00A36D15"/>
    <w:rsid w:val="00A37004"/>
    <w:rsid w:val="00A373D9"/>
    <w:rsid w:val="00A37A1F"/>
    <w:rsid w:val="00A37ED5"/>
    <w:rsid w:val="00A402B5"/>
    <w:rsid w:val="00A40975"/>
    <w:rsid w:val="00A4100A"/>
    <w:rsid w:val="00A41691"/>
    <w:rsid w:val="00A417F9"/>
    <w:rsid w:val="00A437DA"/>
    <w:rsid w:val="00A442EE"/>
    <w:rsid w:val="00A446C8"/>
    <w:rsid w:val="00A45332"/>
    <w:rsid w:val="00A45725"/>
    <w:rsid w:val="00A46D27"/>
    <w:rsid w:val="00A46D37"/>
    <w:rsid w:val="00A46E93"/>
    <w:rsid w:val="00A470E3"/>
    <w:rsid w:val="00A474EC"/>
    <w:rsid w:val="00A47547"/>
    <w:rsid w:val="00A50D48"/>
    <w:rsid w:val="00A51782"/>
    <w:rsid w:val="00A51A86"/>
    <w:rsid w:val="00A52298"/>
    <w:rsid w:val="00A52517"/>
    <w:rsid w:val="00A52DC0"/>
    <w:rsid w:val="00A52F29"/>
    <w:rsid w:val="00A537BB"/>
    <w:rsid w:val="00A53D67"/>
    <w:rsid w:val="00A54188"/>
    <w:rsid w:val="00A54460"/>
    <w:rsid w:val="00A545C4"/>
    <w:rsid w:val="00A546CF"/>
    <w:rsid w:val="00A55898"/>
    <w:rsid w:val="00A55A28"/>
    <w:rsid w:val="00A55B04"/>
    <w:rsid w:val="00A56339"/>
    <w:rsid w:val="00A566FE"/>
    <w:rsid w:val="00A567B2"/>
    <w:rsid w:val="00A57DE3"/>
    <w:rsid w:val="00A60208"/>
    <w:rsid w:val="00A605AE"/>
    <w:rsid w:val="00A60A73"/>
    <w:rsid w:val="00A60F8C"/>
    <w:rsid w:val="00A61289"/>
    <w:rsid w:val="00A61340"/>
    <w:rsid w:val="00A61C07"/>
    <w:rsid w:val="00A61FD9"/>
    <w:rsid w:val="00A6264E"/>
    <w:rsid w:val="00A62E70"/>
    <w:rsid w:val="00A631EA"/>
    <w:rsid w:val="00A63863"/>
    <w:rsid w:val="00A6392F"/>
    <w:rsid w:val="00A6470C"/>
    <w:rsid w:val="00A649D4"/>
    <w:rsid w:val="00A64A7D"/>
    <w:rsid w:val="00A64A96"/>
    <w:rsid w:val="00A64B82"/>
    <w:rsid w:val="00A66EEB"/>
    <w:rsid w:val="00A67207"/>
    <w:rsid w:val="00A70090"/>
    <w:rsid w:val="00A703CC"/>
    <w:rsid w:val="00A70F6E"/>
    <w:rsid w:val="00A71D1A"/>
    <w:rsid w:val="00A72109"/>
    <w:rsid w:val="00A72F5F"/>
    <w:rsid w:val="00A73478"/>
    <w:rsid w:val="00A73CF3"/>
    <w:rsid w:val="00A73D95"/>
    <w:rsid w:val="00A7519C"/>
    <w:rsid w:val="00A75223"/>
    <w:rsid w:val="00A753CF"/>
    <w:rsid w:val="00A758A6"/>
    <w:rsid w:val="00A7680E"/>
    <w:rsid w:val="00A7747F"/>
    <w:rsid w:val="00A774EB"/>
    <w:rsid w:val="00A77F3D"/>
    <w:rsid w:val="00A8160A"/>
    <w:rsid w:val="00A81BF3"/>
    <w:rsid w:val="00A82333"/>
    <w:rsid w:val="00A82C1B"/>
    <w:rsid w:val="00A83320"/>
    <w:rsid w:val="00A83C5D"/>
    <w:rsid w:val="00A842EF"/>
    <w:rsid w:val="00A844DD"/>
    <w:rsid w:val="00A848F4"/>
    <w:rsid w:val="00A85AC1"/>
    <w:rsid w:val="00A86B7F"/>
    <w:rsid w:val="00A8764C"/>
    <w:rsid w:val="00A8771B"/>
    <w:rsid w:val="00A878AF"/>
    <w:rsid w:val="00A879CE"/>
    <w:rsid w:val="00A902D7"/>
    <w:rsid w:val="00A90ED6"/>
    <w:rsid w:val="00A913A2"/>
    <w:rsid w:val="00A916C9"/>
    <w:rsid w:val="00A92198"/>
    <w:rsid w:val="00A92E00"/>
    <w:rsid w:val="00A930EE"/>
    <w:rsid w:val="00A941E5"/>
    <w:rsid w:val="00A941F2"/>
    <w:rsid w:val="00A944F8"/>
    <w:rsid w:val="00A94EE2"/>
    <w:rsid w:val="00A9518C"/>
    <w:rsid w:val="00A9581A"/>
    <w:rsid w:val="00A95A8C"/>
    <w:rsid w:val="00A967E0"/>
    <w:rsid w:val="00A97C75"/>
    <w:rsid w:val="00A97D3D"/>
    <w:rsid w:val="00AA059A"/>
    <w:rsid w:val="00AA0A0E"/>
    <w:rsid w:val="00AA0B95"/>
    <w:rsid w:val="00AA0FAF"/>
    <w:rsid w:val="00AA10CE"/>
    <w:rsid w:val="00AA1D51"/>
    <w:rsid w:val="00AA2E15"/>
    <w:rsid w:val="00AA3AF4"/>
    <w:rsid w:val="00AA4A76"/>
    <w:rsid w:val="00AA4D6F"/>
    <w:rsid w:val="00AA56AA"/>
    <w:rsid w:val="00AA7196"/>
    <w:rsid w:val="00AA7E3E"/>
    <w:rsid w:val="00AB057C"/>
    <w:rsid w:val="00AB0E1A"/>
    <w:rsid w:val="00AB12FB"/>
    <w:rsid w:val="00AB1B94"/>
    <w:rsid w:val="00AB1F9B"/>
    <w:rsid w:val="00AB2CFB"/>
    <w:rsid w:val="00AB2D28"/>
    <w:rsid w:val="00AB357E"/>
    <w:rsid w:val="00AB3925"/>
    <w:rsid w:val="00AB3B41"/>
    <w:rsid w:val="00AB3D46"/>
    <w:rsid w:val="00AB3D4B"/>
    <w:rsid w:val="00AB3EEC"/>
    <w:rsid w:val="00AB3FBF"/>
    <w:rsid w:val="00AB4277"/>
    <w:rsid w:val="00AB47AC"/>
    <w:rsid w:val="00AB5A65"/>
    <w:rsid w:val="00AB5F32"/>
    <w:rsid w:val="00AB6BBC"/>
    <w:rsid w:val="00AB6F45"/>
    <w:rsid w:val="00AB7DC1"/>
    <w:rsid w:val="00AC004A"/>
    <w:rsid w:val="00AC2BD8"/>
    <w:rsid w:val="00AC34A7"/>
    <w:rsid w:val="00AC4F07"/>
    <w:rsid w:val="00AC5B53"/>
    <w:rsid w:val="00AC61C8"/>
    <w:rsid w:val="00AC70AC"/>
    <w:rsid w:val="00AC71DB"/>
    <w:rsid w:val="00AC79BF"/>
    <w:rsid w:val="00AC7D0C"/>
    <w:rsid w:val="00AD0856"/>
    <w:rsid w:val="00AD1124"/>
    <w:rsid w:val="00AD2A6D"/>
    <w:rsid w:val="00AD2EA9"/>
    <w:rsid w:val="00AD5619"/>
    <w:rsid w:val="00AD6044"/>
    <w:rsid w:val="00AD6B18"/>
    <w:rsid w:val="00AD770B"/>
    <w:rsid w:val="00AD771D"/>
    <w:rsid w:val="00AD78EA"/>
    <w:rsid w:val="00AE0435"/>
    <w:rsid w:val="00AE04DF"/>
    <w:rsid w:val="00AE0B64"/>
    <w:rsid w:val="00AE18CC"/>
    <w:rsid w:val="00AE1D84"/>
    <w:rsid w:val="00AE247C"/>
    <w:rsid w:val="00AE2982"/>
    <w:rsid w:val="00AE334A"/>
    <w:rsid w:val="00AE3A28"/>
    <w:rsid w:val="00AE3E57"/>
    <w:rsid w:val="00AE454C"/>
    <w:rsid w:val="00AE455A"/>
    <w:rsid w:val="00AE5D40"/>
    <w:rsid w:val="00AE5EDD"/>
    <w:rsid w:val="00AE72BA"/>
    <w:rsid w:val="00AE7C26"/>
    <w:rsid w:val="00AF0B1B"/>
    <w:rsid w:val="00AF0CA2"/>
    <w:rsid w:val="00AF1090"/>
    <w:rsid w:val="00AF1828"/>
    <w:rsid w:val="00AF1CA5"/>
    <w:rsid w:val="00AF24A1"/>
    <w:rsid w:val="00AF2B4C"/>
    <w:rsid w:val="00AF302F"/>
    <w:rsid w:val="00AF36C5"/>
    <w:rsid w:val="00AF4CF0"/>
    <w:rsid w:val="00AF4F94"/>
    <w:rsid w:val="00AF528A"/>
    <w:rsid w:val="00AF560D"/>
    <w:rsid w:val="00AF5D0E"/>
    <w:rsid w:val="00AF6BA7"/>
    <w:rsid w:val="00AF6C0B"/>
    <w:rsid w:val="00AF6ED2"/>
    <w:rsid w:val="00AF7BE7"/>
    <w:rsid w:val="00AF7C42"/>
    <w:rsid w:val="00AF7CB2"/>
    <w:rsid w:val="00AF7D2B"/>
    <w:rsid w:val="00B0010B"/>
    <w:rsid w:val="00B0156B"/>
    <w:rsid w:val="00B028E1"/>
    <w:rsid w:val="00B03B02"/>
    <w:rsid w:val="00B04773"/>
    <w:rsid w:val="00B05868"/>
    <w:rsid w:val="00B05D4A"/>
    <w:rsid w:val="00B0621A"/>
    <w:rsid w:val="00B065A9"/>
    <w:rsid w:val="00B06EC0"/>
    <w:rsid w:val="00B07015"/>
    <w:rsid w:val="00B07209"/>
    <w:rsid w:val="00B073AC"/>
    <w:rsid w:val="00B073E4"/>
    <w:rsid w:val="00B07E3C"/>
    <w:rsid w:val="00B10922"/>
    <w:rsid w:val="00B11600"/>
    <w:rsid w:val="00B11C10"/>
    <w:rsid w:val="00B12103"/>
    <w:rsid w:val="00B13364"/>
    <w:rsid w:val="00B135C9"/>
    <w:rsid w:val="00B14554"/>
    <w:rsid w:val="00B14C6C"/>
    <w:rsid w:val="00B151C5"/>
    <w:rsid w:val="00B1550D"/>
    <w:rsid w:val="00B16248"/>
    <w:rsid w:val="00B20346"/>
    <w:rsid w:val="00B20561"/>
    <w:rsid w:val="00B20F75"/>
    <w:rsid w:val="00B20FEC"/>
    <w:rsid w:val="00B211E2"/>
    <w:rsid w:val="00B21412"/>
    <w:rsid w:val="00B217EA"/>
    <w:rsid w:val="00B2247F"/>
    <w:rsid w:val="00B22773"/>
    <w:rsid w:val="00B2280C"/>
    <w:rsid w:val="00B22849"/>
    <w:rsid w:val="00B22B84"/>
    <w:rsid w:val="00B22CA3"/>
    <w:rsid w:val="00B22CF4"/>
    <w:rsid w:val="00B23241"/>
    <w:rsid w:val="00B232A2"/>
    <w:rsid w:val="00B249AD"/>
    <w:rsid w:val="00B24B04"/>
    <w:rsid w:val="00B2503B"/>
    <w:rsid w:val="00B25470"/>
    <w:rsid w:val="00B26AE3"/>
    <w:rsid w:val="00B2703B"/>
    <w:rsid w:val="00B27635"/>
    <w:rsid w:val="00B2783C"/>
    <w:rsid w:val="00B27F2A"/>
    <w:rsid w:val="00B301C0"/>
    <w:rsid w:val="00B30D05"/>
    <w:rsid w:val="00B31490"/>
    <w:rsid w:val="00B31EE6"/>
    <w:rsid w:val="00B3240C"/>
    <w:rsid w:val="00B32A48"/>
    <w:rsid w:val="00B32E3B"/>
    <w:rsid w:val="00B3322E"/>
    <w:rsid w:val="00B332DF"/>
    <w:rsid w:val="00B33340"/>
    <w:rsid w:val="00B338B8"/>
    <w:rsid w:val="00B338EB"/>
    <w:rsid w:val="00B33EBE"/>
    <w:rsid w:val="00B343D9"/>
    <w:rsid w:val="00B34F86"/>
    <w:rsid w:val="00B361D6"/>
    <w:rsid w:val="00B36BBA"/>
    <w:rsid w:val="00B36E76"/>
    <w:rsid w:val="00B3706F"/>
    <w:rsid w:val="00B37F4D"/>
    <w:rsid w:val="00B408FD"/>
    <w:rsid w:val="00B40C09"/>
    <w:rsid w:val="00B41001"/>
    <w:rsid w:val="00B42502"/>
    <w:rsid w:val="00B429D1"/>
    <w:rsid w:val="00B42E5C"/>
    <w:rsid w:val="00B43185"/>
    <w:rsid w:val="00B43572"/>
    <w:rsid w:val="00B44279"/>
    <w:rsid w:val="00B44AB7"/>
    <w:rsid w:val="00B45595"/>
    <w:rsid w:val="00B458D5"/>
    <w:rsid w:val="00B45F0A"/>
    <w:rsid w:val="00B462DF"/>
    <w:rsid w:val="00B46B10"/>
    <w:rsid w:val="00B504A0"/>
    <w:rsid w:val="00B5057D"/>
    <w:rsid w:val="00B50BFC"/>
    <w:rsid w:val="00B50D55"/>
    <w:rsid w:val="00B51674"/>
    <w:rsid w:val="00B51BAF"/>
    <w:rsid w:val="00B51D99"/>
    <w:rsid w:val="00B529DD"/>
    <w:rsid w:val="00B52E70"/>
    <w:rsid w:val="00B538C7"/>
    <w:rsid w:val="00B5604E"/>
    <w:rsid w:val="00B56CC6"/>
    <w:rsid w:val="00B5773B"/>
    <w:rsid w:val="00B60145"/>
    <w:rsid w:val="00B607DC"/>
    <w:rsid w:val="00B61022"/>
    <w:rsid w:val="00B61A30"/>
    <w:rsid w:val="00B61B87"/>
    <w:rsid w:val="00B62508"/>
    <w:rsid w:val="00B63036"/>
    <w:rsid w:val="00B631BF"/>
    <w:rsid w:val="00B6333C"/>
    <w:rsid w:val="00B6363B"/>
    <w:rsid w:val="00B64A1C"/>
    <w:rsid w:val="00B65092"/>
    <w:rsid w:val="00B650E4"/>
    <w:rsid w:val="00B651E1"/>
    <w:rsid w:val="00B65963"/>
    <w:rsid w:val="00B65B8B"/>
    <w:rsid w:val="00B66378"/>
    <w:rsid w:val="00B66AF3"/>
    <w:rsid w:val="00B67CBC"/>
    <w:rsid w:val="00B67F12"/>
    <w:rsid w:val="00B7177C"/>
    <w:rsid w:val="00B7233F"/>
    <w:rsid w:val="00B72A2E"/>
    <w:rsid w:val="00B72F45"/>
    <w:rsid w:val="00B73B4F"/>
    <w:rsid w:val="00B740BC"/>
    <w:rsid w:val="00B74124"/>
    <w:rsid w:val="00B745EF"/>
    <w:rsid w:val="00B75D02"/>
    <w:rsid w:val="00B77ED5"/>
    <w:rsid w:val="00B80826"/>
    <w:rsid w:val="00B809A7"/>
    <w:rsid w:val="00B81215"/>
    <w:rsid w:val="00B81D75"/>
    <w:rsid w:val="00B82550"/>
    <w:rsid w:val="00B82837"/>
    <w:rsid w:val="00B833D8"/>
    <w:rsid w:val="00B83873"/>
    <w:rsid w:val="00B83CC1"/>
    <w:rsid w:val="00B8416F"/>
    <w:rsid w:val="00B842CA"/>
    <w:rsid w:val="00B844A1"/>
    <w:rsid w:val="00B8521E"/>
    <w:rsid w:val="00B859BC"/>
    <w:rsid w:val="00B8603B"/>
    <w:rsid w:val="00B867EE"/>
    <w:rsid w:val="00B87446"/>
    <w:rsid w:val="00B9000C"/>
    <w:rsid w:val="00B90739"/>
    <w:rsid w:val="00B92956"/>
    <w:rsid w:val="00B94034"/>
    <w:rsid w:val="00B942C4"/>
    <w:rsid w:val="00B948EC"/>
    <w:rsid w:val="00B95078"/>
    <w:rsid w:val="00B95985"/>
    <w:rsid w:val="00B9607A"/>
    <w:rsid w:val="00B96D2E"/>
    <w:rsid w:val="00B97CFC"/>
    <w:rsid w:val="00BA03D5"/>
    <w:rsid w:val="00BA07F0"/>
    <w:rsid w:val="00BA1587"/>
    <w:rsid w:val="00BA1588"/>
    <w:rsid w:val="00BA25D1"/>
    <w:rsid w:val="00BA3033"/>
    <w:rsid w:val="00BA30BD"/>
    <w:rsid w:val="00BA38C3"/>
    <w:rsid w:val="00BA3BAF"/>
    <w:rsid w:val="00BA426A"/>
    <w:rsid w:val="00BA42EC"/>
    <w:rsid w:val="00BA4572"/>
    <w:rsid w:val="00BA45F7"/>
    <w:rsid w:val="00BA502B"/>
    <w:rsid w:val="00BA562D"/>
    <w:rsid w:val="00BA5A72"/>
    <w:rsid w:val="00BA5E79"/>
    <w:rsid w:val="00BA64D8"/>
    <w:rsid w:val="00BB06EB"/>
    <w:rsid w:val="00BB097E"/>
    <w:rsid w:val="00BB0DA5"/>
    <w:rsid w:val="00BB1003"/>
    <w:rsid w:val="00BB1221"/>
    <w:rsid w:val="00BB19A2"/>
    <w:rsid w:val="00BB1F00"/>
    <w:rsid w:val="00BB2161"/>
    <w:rsid w:val="00BB2BB3"/>
    <w:rsid w:val="00BB3139"/>
    <w:rsid w:val="00BB36E7"/>
    <w:rsid w:val="00BB3F2E"/>
    <w:rsid w:val="00BB457B"/>
    <w:rsid w:val="00BB4594"/>
    <w:rsid w:val="00BB45D5"/>
    <w:rsid w:val="00BB4874"/>
    <w:rsid w:val="00BB7764"/>
    <w:rsid w:val="00BB7A3A"/>
    <w:rsid w:val="00BC0DCE"/>
    <w:rsid w:val="00BC1A5C"/>
    <w:rsid w:val="00BC2739"/>
    <w:rsid w:val="00BC2EA9"/>
    <w:rsid w:val="00BC4159"/>
    <w:rsid w:val="00BC439F"/>
    <w:rsid w:val="00BC5015"/>
    <w:rsid w:val="00BC5730"/>
    <w:rsid w:val="00BC5869"/>
    <w:rsid w:val="00BC6299"/>
    <w:rsid w:val="00BC64D2"/>
    <w:rsid w:val="00BC66A9"/>
    <w:rsid w:val="00BC6D37"/>
    <w:rsid w:val="00BC774D"/>
    <w:rsid w:val="00BD1047"/>
    <w:rsid w:val="00BD1EE2"/>
    <w:rsid w:val="00BD2095"/>
    <w:rsid w:val="00BD2D3E"/>
    <w:rsid w:val="00BD3108"/>
    <w:rsid w:val="00BD32EA"/>
    <w:rsid w:val="00BD34B1"/>
    <w:rsid w:val="00BD389A"/>
    <w:rsid w:val="00BD3E07"/>
    <w:rsid w:val="00BD406D"/>
    <w:rsid w:val="00BD4174"/>
    <w:rsid w:val="00BD42B5"/>
    <w:rsid w:val="00BD52AD"/>
    <w:rsid w:val="00BD57E7"/>
    <w:rsid w:val="00BD608F"/>
    <w:rsid w:val="00BD65AE"/>
    <w:rsid w:val="00BD73AE"/>
    <w:rsid w:val="00BE0C72"/>
    <w:rsid w:val="00BE146D"/>
    <w:rsid w:val="00BE1C9A"/>
    <w:rsid w:val="00BE1C9B"/>
    <w:rsid w:val="00BE1D46"/>
    <w:rsid w:val="00BE26EC"/>
    <w:rsid w:val="00BE4378"/>
    <w:rsid w:val="00BE447E"/>
    <w:rsid w:val="00BE4AAE"/>
    <w:rsid w:val="00BE4AC4"/>
    <w:rsid w:val="00BE4AD8"/>
    <w:rsid w:val="00BE69ED"/>
    <w:rsid w:val="00BE6D26"/>
    <w:rsid w:val="00BE782D"/>
    <w:rsid w:val="00BF073C"/>
    <w:rsid w:val="00BF0811"/>
    <w:rsid w:val="00BF0A21"/>
    <w:rsid w:val="00BF0CB1"/>
    <w:rsid w:val="00BF0CFB"/>
    <w:rsid w:val="00BF1B7A"/>
    <w:rsid w:val="00BF28D7"/>
    <w:rsid w:val="00BF31C2"/>
    <w:rsid w:val="00BF441E"/>
    <w:rsid w:val="00BF4660"/>
    <w:rsid w:val="00BF5BBA"/>
    <w:rsid w:val="00BF5D0D"/>
    <w:rsid w:val="00BF60FB"/>
    <w:rsid w:val="00BF72E0"/>
    <w:rsid w:val="00BF7F63"/>
    <w:rsid w:val="00C005E5"/>
    <w:rsid w:val="00C00763"/>
    <w:rsid w:val="00C00A28"/>
    <w:rsid w:val="00C00A75"/>
    <w:rsid w:val="00C00D17"/>
    <w:rsid w:val="00C014B8"/>
    <w:rsid w:val="00C01B9C"/>
    <w:rsid w:val="00C01E0E"/>
    <w:rsid w:val="00C02106"/>
    <w:rsid w:val="00C027B6"/>
    <w:rsid w:val="00C028F7"/>
    <w:rsid w:val="00C05593"/>
    <w:rsid w:val="00C05F5D"/>
    <w:rsid w:val="00C06A9A"/>
    <w:rsid w:val="00C06FF3"/>
    <w:rsid w:val="00C074F3"/>
    <w:rsid w:val="00C07820"/>
    <w:rsid w:val="00C10169"/>
    <w:rsid w:val="00C11327"/>
    <w:rsid w:val="00C1447A"/>
    <w:rsid w:val="00C14B05"/>
    <w:rsid w:val="00C14F9F"/>
    <w:rsid w:val="00C1537C"/>
    <w:rsid w:val="00C157AC"/>
    <w:rsid w:val="00C15ACF"/>
    <w:rsid w:val="00C15D23"/>
    <w:rsid w:val="00C160AC"/>
    <w:rsid w:val="00C161C2"/>
    <w:rsid w:val="00C16EF9"/>
    <w:rsid w:val="00C17820"/>
    <w:rsid w:val="00C17F4D"/>
    <w:rsid w:val="00C21B57"/>
    <w:rsid w:val="00C23764"/>
    <w:rsid w:val="00C25ABB"/>
    <w:rsid w:val="00C25D26"/>
    <w:rsid w:val="00C25DA2"/>
    <w:rsid w:val="00C2670D"/>
    <w:rsid w:val="00C268DC"/>
    <w:rsid w:val="00C276FA"/>
    <w:rsid w:val="00C2785B"/>
    <w:rsid w:val="00C30AC3"/>
    <w:rsid w:val="00C30E8D"/>
    <w:rsid w:val="00C30F3F"/>
    <w:rsid w:val="00C316A4"/>
    <w:rsid w:val="00C3256D"/>
    <w:rsid w:val="00C32CD9"/>
    <w:rsid w:val="00C3382B"/>
    <w:rsid w:val="00C33967"/>
    <w:rsid w:val="00C34921"/>
    <w:rsid w:val="00C34D96"/>
    <w:rsid w:val="00C35F61"/>
    <w:rsid w:val="00C36172"/>
    <w:rsid w:val="00C362B7"/>
    <w:rsid w:val="00C36556"/>
    <w:rsid w:val="00C3655E"/>
    <w:rsid w:val="00C3714F"/>
    <w:rsid w:val="00C37524"/>
    <w:rsid w:val="00C378EA"/>
    <w:rsid w:val="00C410EF"/>
    <w:rsid w:val="00C412B8"/>
    <w:rsid w:val="00C41F35"/>
    <w:rsid w:val="00C4204A"/>
    <w:rsid w:val="00C421A0"/>
    <w:rsid w:val="00C42FFF"/>
    <w:rsid w:val="00C437B9"/>
    <w:rsid w:val="00C4392B"/>
    <w:rsid w:val="00C441BE"/>
    <w:rsid w:val="00C449E4"/>
    <w:rsid w:val="00C4582B"/>
    <w:rsid w:val="00C4590A"/>
    <w:rsid w:val="00C45CE0"/>
    <w:rsid w:val="00C462B5"/>
    <w:rsid w:val="00C46D77"/>
    <w:rsid w:val="00C47B05"/>
    <w:rsid w:val="00C50CE7"/>
    <w:rsid w:val="00C511C2"/>
    <w:rsid w:val="00C51F69"/>
    <w:rsid w:val="00C51FE4"/>
    <w:rsid w:val="00C520D3"/>
    <w:rsid w:val="00C52EE7"/>
    <w:rsid w:val="00C536E4"/>
    <w:rsid w:val="00C54616"/>
    <w:rsid w:val="00C547FE"/>
    <w:rsid w:val="00C555E3"/>
    <w:rsid w:val="00C55796"/>
    <w:rsid w:val="00C557D6"/>
    <w:rsid w:val="00C56000"/>
    <w:rsid w:val="00C568CF"/>
    <w:rsid w:val="00C56B93"/>
    <w:rsid w:val="00C573DA"/>
    <w:rsid w:val="00C6162E"/>
    <w:rsid w:val="00C61872"/>
    <w:rsid w:val="00C63C06"/>
    <w:rsid w:val="00C64188"/>
    <w:rsid w:val="00C645BD"/>
    <w:rsid w:val="00C64715"/>
    <w:rsid w:val="00C64968"/>
    <w:rsid w:val="00C64B55"/>
    <w:rsid w:val="00C65AA8"/>
    <w:rsid w:val="00C65F50"/>
    <w:rsid w:val="00C670A7"/>
    <w:rsid w:val="00C70028"/>
    <w:rsid w:val="00C701CA"/>
    <w:rsid w:val="00C70320"/>
    <w:rsid w:val="00C707CC"/>
    <w:rsid w:val="00C72741"/>
    <w:rsid w:val="00C72A97"/>
    <w:rsid w:val="00C72EB4"/>
    <w:rsid w:val="00C72F62"/>
    <w:rsid w:val="00C73D4A"/>
    <w:rsid w:val="00C73D82"/>
    <w:rsid w:val="00C7423C"/>
    <w:rsid w:val="00C744B5"/>
    <w:rsid w:val="00C7462D"/>
    <w:rsid w:val="00C74873"/>
    <w:rsid w:val="00C74A06"/>
    <w:rsid w:val="00C751E7"/>
    <w:rsid w:val="00C7528E"/>
    <w:rsid w:val="00C758A1"/>
    <w:rsid w:val="00C76834"/>
    <w:rsid w:val="00C7703D"/>
    <w:rsid w:val="00C77119"/>
    <w:rsid w:val="00C77D58"/>
    <w:rsid w:val="00C804BF"/>
    <w:rsid w:val="00C811E7"/>
    <w:rsid w:val="00C81E9A"/>
    <w:rsid w:val="00C824D9"/>
    <w:rsid w:val="00C827D1"/>
    <w:rsid w:val="00C8339E"/>
    <w:rsid w:val="00C835FD"/>
    <w:rsid w:val="00C8504D"/>
    <w:rsid w:val="00C85FF0"/>
    <w:rsid w:val="00C86D16"/>
    <w:rsid w:val="00C87791"/>
    <w:rsid w:val="00C878BE"/>
    <w:rsid w:val="00C902BC"/>
    <w:rsid w:val="00C90C99"/>
    <w:rsid w:val="00C90D9A"/>
    <w:rsid w:val="00C9236B"/>
    <w:rsid w:val="00C925C5"/>
    <w:rsid w:val="00C940D6"/>
    <w:rsid w:val="00C94AD0"/>
    <w:rsid w:val="00C94DCF"/>
    <w:rsid w:val="00C95DBD"/>
    <w:rsid w:val="00C969F8"/>
    <w:rsid w:val="00C9715C"/>
    <w:rsid w:val="00CA00BA"/>
    <w:rsid w:val="00CA0878"/>
    <w:rsid w:val="00CA2418"/>
    <w:rsid w:val="00CA27A1"/>
    <w:rsid w:val="00CA28D3"/>
    <w:rsid w:val="00CA30BB"/>
    <w:rsid w:val="00CA357A"/>
    <w:rsid w:val="00CA35D9"/>
    <w:rsid w:val="00CA375C"/>
    <w:rsid w:val="00CA3A4E"/>
    <w:rsid w:val="00CA3C3A"/>
    <w:rsid w:val="00CA4267"/>
    <w:rsid w:val="00CA4A1F"/>
    <w:rsid w:val="00CA592A"/>
    <w:rsid w:val="00CA5CFB"/>
    <w:rsid w:val="00CA623B"/>
    <w:rsid w:val="00CA68C9"/>
    <w:rsid w:val="00CA6B7B"/>
    <w:rsid w:val="00CA7284"/>
    <w:rsid w:val="00CB1189"/>
    <w:rsid w:val="00CB128C"/>
    <w:rsid w:val="00CB2E4F"/>
    <w:rsid w:val="00CB2F29"/>
    <w:rsid w:val="00CB3D75"/>
    <w:rsid w:val="00CB3D9C"/>
    <w:rsid w:val="00CB3F7D"/>
    <w:rsid w:val="00CB4123"/>
    <w:rsid w:val="00CB415D"/>
    <w:rsid w:val="00CB42BF"/>
    <w:rsid w:val="00CB4574"/>
    <w:rsid w:val="00CB4931"/>
    <w:rsid w:val="00CB5346"/>
    <w:rsid w:val="00CB611F"/>
    <w:rsid w:val="00CB6D74"/>
    <w:rsid w:val="00CB6FCC"/>
    <w:rsid w:val="00CB75F4"/>
    <w:rsid w:val="00CB7F28"/>
    <w:rsid w:val="00CC020C"/>
    <w:rsid w:val="00CC04EF"/>
    <w:rsid w:val="00CC0B32"/>
    <w:rsid w:val="00CC1A25"/>
    <w:rsid w:val="00CC1C7F"/>
    <w:rsid w:val="00CC20AA"/>
    <w:rsid w:val="00CC2A17"/>
    <w:rsid w:val="00CC319F"/>
    <w:rsid w:val="00CC33E0"/>
    <w:rsid w:val="00CC3B4E"/>
    <w:rsid w:val="00CC49EC"/>
    <w:rsid w:val="00CC50AB"/>
    <w:rsid w:val="00CC5AAB"/>
    <w:rsid w:val="00CC63F8"/>
    <w:rsid w:val="00CC6621"/>
    <w:rsid w:val="00CC6950"/>
    <w:rsid w:val="00CC7016"/>
    <w:rsid w:val="00CC719D"/>
    <w:rsid w:val="00CC76EB"/>
    <w:rsid w:val="00CD0551"/>
    <w:rsid w:val="00CD1040"/>
    <w:rsid w:val="00CD465B"/>
    <w:rsid w:val="00CD4D5B"/>
    <w:rsid w:val="00CD54DF"/>
    <w:rsid w:val="00CD5FE1"/>
    <w:rsid w:val="00CD6CE4"/>
    <w:rsid w:val="00CD7C88"/>
    <w:rsid w:val="00CE0139"/>
    <w:rsid w:val="00CE0FFB"/>
    <w:rsid w:val="00CE2EF1"/>
    <w:rsid w:val="00CE310B"/>
    <w:rsid w:val="00CE4DC8"/>
    <w:rsid w:val="00CE51E3"/>
    <w:rsid w:val="00CE5E27"/>
    <w:rsid w:val="00CE6327"/>
    <w:rsid w:val="00CE6676"/>
    <w:rsid w:val="00CE7493"/>
    <w:rsid w:val="00CE76BC"/>
    <w:rsid w:val="00CE7DB0"/>
    <w:rsid w:val="00CE7F08"/>
    <w:rsid w:val="00CF025C"/>
    <w:rsid w:val="00CF19EB"/>
    <w:rsid w:val="00CF1EBB"/>
    <w:rsid w:val="00CF2033"/>
    <w:rsid w:val="00CF2A67"/>
    <w:rsid w:val="00CF2DA1"/>
    <w:rsid w:val="00CF34CD"/>
    <w:rsid w:val="00CF3500"/>
    <w:rsid w:val="00CF3A6E"/>
    <w:rsid w:val="00CF3DC1"/>
    <w:rsid w:val="00CF427B"/>
    <w:rsid w:val="00CF448B"/>
    <w:rsid w:val="00CF472E"/>
    <w:rsid w:val="00CF5B9E"/>
    <w:rsid w:val="00CF5DAD"/>
    <w:rsid w:val="00CF67F3"/>
    <w:rsid w:val="00CF6B29"/>
    <w:rsid w:val="00CF7A33"/>
    <w:rsid w:val="00D00870"/>
    <w:rsid w:val="00D018F0"/>
    <w:rsid w:val="00D01B99"/>
    <w:rsid w:val="00D0288F"/>
    <w:rsid w:val="00D02FF5"/>
    <w:rsid w:val="00D0314A"/>
    <w:rsid w:val="00D0398B"/>
    <w:rsid w:val="00D040A0"/>
    <w:rsid w:val="00D045EC"/>
    <w:rsid w:val="00D046A9"/>
    <w:rsid w:val="00D04AFF"/>
    <w:rsid w:val="00D04C9A"/>
    <w:rsid w:val="00D04F04"/>
    <w:rsid w:val="00D05924"/>
    <w:rsid w:val="00D065EE"/>
    <w:rsid w:val="00D06A5C"/>
    <w:rsid w:val="00D0754B"/>
    <w:rsid w:val="00D07DEF"/>
    <w:rsid w:val="00D107D2"/>
    <w:rsid w:val="00D10DC9"/>
    <w:rsid w:val="00D114CD"/>
    <w:rsid w:val="00D118E8"/>
    <w:rsid w:val="00D12714"/>
    <w:rsid w:val="00D12965"/>
    <w:rsid w:val="00D12A7F"/>
    <w:rsid w:val="00D13253"/>
    <w:rsid w:val="00D13F0B"/>
    <w:rsid w:val="00D14054"/>
    <w:rsid w:val="00D149AF"/>
    <w:rsid w:val="00D14B45"/>
    <w:rsid w:val="00D15369"/>
    <w:rsid w:val="00D158CD"/>
    <w:rsid w:val="00D16352"/>
    <w:rsid w:val="00D1684C"/>
    <w:rsid w:val="00D17023"/>
    <w:rsid w:val="00D171E9"/>
    <w:rsid w:val="00D17BFB"/>
    <w:rsid w:val="00D20CAF"/>
    <w:rsid w:val="00D20FD7"/>
    <w:rsid w:val="00D2162D"/>
    <w:rsid w:val="00D21C83"/>
    <w:rsid w:val="00D21FAA"/>
    <w:rsid w:val="00D22CD2"/>
    <w:rsid w:val="00D2425C"/>
    <w:rsid w:val="00D243E0"/>
    <w:rsid w:val="00D2492D"/>
    <w:rsid w:val="00D25063"/>
    <w:rsid w:val="00D260A7"/>
    <w:rsid w:val="00D26199"/>
    <w:rsid w:val="00D2634E"/>
    <w:rsid w:val="00D26716"/>
    <w:rsid w:val="00D2715B"/>
    <w:rsid w:val="00D2793B"/>
    <w:rsid w:val="00D27DC5"/>
    <w:rsid w:val="00D30413"/>
    <w:rsid w:val="00D31507"/>
    <w:rsid w:val="00D31511"/>
    <w:rsid w:val="00D3175E"/>
    <w:rsid w:val="00D3192B"/>
    <w:rsid w:val="00D31B23"/>
    <w:rsid w:val="00D31F50"/>
    <w:rsid w:val="00D32A77"/>
    <w:rsid w:val="00D32B45"/>
    <w:rsid w:val="00D332B0"/>
    <w:rsid w:val="00D33409"/>
    <w:rsid w:val="00D33D3F"/>
    <w:rsid w:val="00D34740"/>
    <w:rsid w:val="00D36129"/>
    <w:rsid w:val="00D37D72"/>
    <w:rsid w:val="00D40394"/>
    <w:rsid w:val="00D40B9B"/>
    <w:rsid w:val="00D40CDE"/>
    <w:rsid w:val="00D41CCA"/>
    <w:rsid w:val="00D41D3B"/>
    <w:rsid w:val="00D42168"/>
    <w:rsid w:val="00D4343C"/>
    <w:rsid w:val="00D449DC"/>
    <w:rsid w:val="00D44E9F"/>
    <w:rsid w:val="00D45023"/>
    <w:rsid w:val="00D45244"/>
    <w:rsid w:val="00D45675"/>
    <w:rsid w:val="00D460F1"/>
    <w:rsid w:val="00D46278"/>
    <w:rsid w:val="00D462AD"/>
    <w:rsid w:val="00D4676F"/>
    <w:rsid w:val="00D47262"/>
    <w:rsid w:val="00D50972"/>
    <w:rsid w:val="00D50FD2"/>
    <w:rsid w:val="00D51439"/>
    <w:rsid w:val="00D51AD3"/>
    <w:rsid w:val="00D51E6E"/>
    <w:rsid w:val="00D5226A"/>
    <w:rsid w:val="00D52355"/>
    <w:rsid w:val="00D524B9"/>
    <w:rsid w:val="00D52BCD"/>
    <w:rsid w:val="00D5305D"/>
    <w:rsid w:val="00D536F5"/>
    <w:rsid w:val="00D5407F"/>
    <w:rsid w:val="00D5415D"/>
    <w:rsid w:val="00D54A64"/>
    <w:rsid w:val="00D552DE"/>
    <w:rsid w:val="00D567DC"/>
    <w:rsid w:val="00D56A5C"/>
    <w:rsid w:val="00D56EC8"/>
    <w:rsid w:val="00D5759A"/>
    <w:rsid w:val="00D60216"/>
    <w:rsid w:val="00D60504"/>
    <w:rsid w:val="00D60D2A"/>
    <w:rsid w:val="00D60EA0"/>
    <w:rsid w:val="00D613A0"/>
    <w:rsid w:val="00D613F2"/>
    <w:rsid w:val="00D61C84"/>
    <w:rsid w:val="00D61D4B"/>
    <w:rsid w:val="00D621C7"/>
    <w:rsid w:val="00D62C97"/>
    <w:rsid w:val="00D63007"/>
    <w:rsid w:val="00D6430B"/>
    <w:rsid w:val="00D644FC"/>
    <w:rsid w:val="00D653AF"/>
    <w:rsid w:val="00D65445"/>
    <w:rsid w:val="00D658F2"/>
    <w:rsid w:val="00D67069"/>
    <w:rsid w:val="00D67868"/>
    <w:rsid w:val="00D67DB1"/>
    <w:rsid w:val="00D67E38"/>
    <w:rsid w:val="00D70E4C"/>
    <w:rsid w:val="00D718A0"/>
    <w:rsid w:val="00D71A79"/>
    <w:rsid w:val="00D72253"/>
    <w:rsid w:val="00D7269E"/>
    <w:rsid w:val="00D727CD"/>
    <w:rsid w:val="00D72D38"/>
    <w:rsid w:val="00D740EF"/>
    <w:rsid w:val="00D74606"/>
    <w:rsid w:val="00D752AF"/>
    <w:rsid w:val="00D75CEF"/>
    <w:rsid w:val="00D76022"/>
    <w:rsid w:val="00D76617"/>
    <w:rsid w:val="00D76ABD"/>
    <w:rsid w:val="00D77186"/>
    <w:rsid w:val="00D77380"/>
    <w:rsid w:val="00D779A6"/>
    <w:rsid w:val="00D77EB3"/>
    <w:rsid w:val="00D80177"/>
    <w:rsid w:val="00D80351"/>
    <w:rsid w:val="00D814C4"/>
    <w:rsid w:val="00D8156B"/>
    <w:rsid w:val="00D81AD3"/>
    <w:rsid w:val="00D823E2"/>
    <w:rsid w:val="00D8298E"/>
    <w:rsid w:val="00D83705"/>
    <w:rsid w:val="00D83BC9"/>
    <w:rsid w:val="00D84D8D"/>
    <w:rsid w:val="00D85068"/>
    <w:rsid w:val="00D850A5"/>
    <w:rsid w:val="00D8562F"/>
    <w:rsid w:val="00D8658E"/>
    <w:rsid w:val="00D86D0D"/>
    <w:rsid w:val="00D8784B"/>
    <w:rsid w:val="00D87FE0"/>
    <w:rsid w:val="00D9077A"/>
    <w:rsid w:val="00D9118B"/>
    <w:rsid w:val="00D91399"/>
    <w:rsid w:val="00D914E6"/>
    <w:rsid w:val="00D91699"/>
    <w:rsid w:val="00D93481"/>
    <w:rsid w:val="00D93673"/>
    <w:rsid w:val="00D9382E"/>
    <w:rsid w:val="00D942B7"/>
    <w:rsid w:val="00D94A2E"/>
    <w:rsid w:val="00D95277"/>
    <w:rsid w:val="00DA07F3"/>
    <w:rsid w:val="00DA1170"/>
    <w:rsid w:val="00DA15B4"/>
    <w:rsid w:val="00DA1B00"/>
    <w:rsid w:val="00DA3699"/>
    <w:rsid w:val="00DA3DBE"/>
    <w:rsid w:val="00DA4523"/>
    <w:rsid w:val="00DA454F"/>
    <w:rsid w:val="00DA5206"/>
    <w:rsid w:val="00DA5566"/>
    <w:rsid w:val="00DA5FCD"/>
    <w:rsid w:val="00DA7FB0"/>
    <w:rsid w:val="00DB0182"/>
    <w:rsid w:val="00DB1474"/>
    <w:rsid w:val="00DB18FA"/>
    <w:rsid w:val="00DB2919"/>
    <w:rsid w:val="00DB2F0A"/>
    <w:rsid w:val="00DB3401"/>
    <w:rsid w:val="00DB405B"/>
    <w:rsid w:val="00DB40BD"/>
    <w:rsid w:val="00DB4540"/>
    <w:rsid w:val="00DB49A5"/>
    <w:rsid w:val="00DB57CE"/>
    <w:rsid w:val="00DB5850"/>
    <w:rsid w:val="00DB5D49"/>
    <w:rsid w:val="00DB5DD9"/>
    <w:rsid w:val="00DB5DF4"/>
    <w:rsid w:val="00DB5FEC"/>
    <w:rsid w:val="00DB6097"/>
    <w:rsid w:val="00DB61E6"/>
    <w:rsid w:val="00DB6394"/>
    <w:rsid w:val="00DB6417"/>
    <w:rsid w:val="00DB6567"/>
    <w:rsid w:val="00DB656E"/>
    <w:rsid w:val="00DB6D75"/>
    <w:rsid w:val="00DB6EA0"/>
    <w:rsid w:val="00DC0034"/>
    <w:rsid w:val="00DC06E9"/>
    <w:rsid w:val="00DC0990"/>
    <w:rsid w:val="00DC1D27"/>
    <w:rsid w:val="00DC1D82"/>
    <w:rsid w:val="00DC31CF"/>
    <w:rsid w:val="00DC337A"/>
    <w:rsid w:val="00DC37F2"/>
    <w:rsid w:val="00DC3C9A"/>
    <w:rsid w:val="00DC3F8A"/>
    <w:rsid w:val="00DC449D"/>
    <w:rsid w:val="00DC4C0F"/>
    <w:rsid w:val="00DC4C26"/>
    <w:rsid w:val="00DC4CEC"/>
    <w:rsid w:val="00DC5D5C"/>
    <w:rsid w:val="00DC639D"/>
    <w:rsid w:val="00DC74C1"/>
    <w:rsid w:val="00DD0C79"/>
    <w:rsid w:val="00DD111A"/>
    <w:rsid w:val="00DD1482"/>
    <w:rsid w:val="00DD3ABC"/>
    <w:rsid w:val="00DD3ED1"/>
    <w:rsid w:val="00DD5794"/>
    <w:rsid w:val="00DD5FD5"/>
    <w:rsid w:val="00DD6B7D"/>
    <w:rsid w:val="00DD77E3"/>
    <w:rsid w:val="00DD7B80"/>
    <w:rsid w:val="00DD7D3D"/>
    <w:rsid w:val="00DE1F51"/>
    <w:rsid w:val="00DE27BA"/>
    <w:rsid w:val="00DE46D2"/>
    <w:rsid w:val="00DE481E"/>
    <w:rsid w:val="00DE4B1C"/>
    <w:rsid w:val="00DE5070"/>
    <w:rsid w:val="00DE60E6"/>
    <w:rsid w:val="00DE7549"/>
    <w:rsid w:val="00DE796A"/>
    <w:rsid w:val="00DE7CD9"/>
    <w:rsid w:val="00DF07FB"/>
    <w:rsid w:val="00DF0965"/>
    <w:rsid w:val="00DF1624"/>
    <w:rsid w:val="00DF30AC"/>
    <w:rsid w:val="00DF31EB"/>
    <w:rsid w:val="00DF38FF"/>
    <w:rsid w:val="00DF3BBB"/>
    <w:rsid w:val="00DF490F"/>
    <w:rsid w:val="00DF4F90"/>
    <w:rsid w:val="00DF518B"/>
    <w:rsid w:val="00DF5485"/>
    <w:rsid w:val="00DF5CA3"/>
    <w:rsid w:val="00DF5E44"/>
    <w:rsid w:val="00DF6BD5"/>
    <w:rsid w:val="00DF6C96"/>
    <w:rsid w:val="00DF7005"/>
    <w:rsid w:val="00E000A0"/>
    <w:rsid w:val="00E00638"/>
    <w:rsid w:val="00E006C0"/>
    <w:rsid w:val="00E00BBE"/>
    <w:rsid w:val="00E00D04"/>
    <w:rsid w:val="00E0131D"/>
    <w:rsid w:val="00E02045"/>
    <w:rsid w:val="00E02365"/>
    <w:rsid w:val="00E028DC"/>
    <w:rsid w:val="00E02F38"/>
    <w:rsid w:val="00E036CE"/>
    <w:rsid w:val="00E03ADF"/>
    <w:rsid w:val="00E03FFA"/>
    <w:rsid w:val="00E0486F"/>
    <w:rsid w:val="00E04D70"/>
    <w:rsid w:val="00E05013"/>
    <w:rsid w:val="00E050A4"/>
    <w:rsid w:val="00E05483"/>
    <w:rsid w:val="00E054A4"/>
    <w:rsid w:val="00E054E8"/>
    <w:rsid w:val="00E05688"/>
    <w:rsid w:val="00E061DF"/>
    <w:rsid w:val="00E0638B"/>
    <w:rsid w:val="00E066CC"/>
    <w:rsid w:val="00E06D81"/>
    <w:rsid w:val="00E07000"/>
    <w:rsid w:val="00E0737F"/>
    <w:rsid w:val="00E0773B"/>
    <w:rsid w:val="00E07997"/>
    <w:rsid w:val="00E10A05"/>
    <w:rsid w:val="00E10CE1"/>
    <w:rsid w:val="00E110E5"/>
    <w:rsid w:val="00E11A45"/>
    <w:rsid w:val="00E11CE1"/>
    <w:rsid w:val="00E1385E"/>
    <w:rsid w:val="00E13ABA"/>
    <w:rsid w:val="00E13F14"/>
    <w:rsid w:val="00E1449E"/>
    <w:rsid w:val="00E144DE"/>
    <w:rsid w:val="00E14B68"/>
    <w:rsid w:val="00E14BB8"/>
    <w:rsid w:val="00E15505"/>
    <w:rsid w:val="00E157D2"/>
    <w:rsid w:val="00E15E65"/>
    <w:rsid w:val="00E16995"/>
    <w:rsid w:val="00E17639"/>
    <w:rsid w:val="00E17A91"/>
    <w:rsid w:val="00E20488"/>
    <w:rsid w:val="00E20957"/>
    <w:rsid w:val="00E20BA6"/>
    <w:rsid w:val="00E2107D"/>
    <w:rsid w:val="00E21354"/>
    <w:rsid w:val="00E217C7"/>
    <w:rsid w:val="00E21BBA"/>
    <w:rsid w:val="00E21EB1"/>
    <w:rsid w:val="00E232E7"/>
    <w:rsid w:val="00E23660"/>
    <w:rsid w:val="00E23A3B"/>
    <w:rsid w:val="00E24031"/>
    <w:rsid w:val="00E242FE"/>
    <w:rsid w:val="00E24EB6"/>
    <w:rsid w:val="00E2573F"/>
    <w:rsid w:val="00E2583D"/>
    <w:rsid w:val="00E25A0D"/>
    <w:rsid w:val="00E2640D"/>
    <w:rsid w:val="00E26515"/>
    <w:rsid w:val="00E266A8"/>
    <w:rsid w:val="00E267FC"/>
    <w:rsid w:val="00E2774F"/>
    <w:rsid w:val="00E27CA2"/>
    <w:rsid w:val="00E27F7D"/>
    <w:rsid w:val="00E301B4"/>
    <w:rsid w:val="00E3047C"/>
    <w:rsid w:val="00E308D8"/>
    <w:rsid w:val="00E31718"/>
    <w:rsid w:val="00E327AB"/>
    <w:rsid w:val="00E343E6"/>
    <w:rsid w:val="00E34EE3"/>
    <w:rsid w:val="00E35410"/>
    <w:rsid w:val="00E35607"/>
    <w:rsid w:val="00E3569B"/>
    <w:rsid w:val="00E35CE5"/>
    <w:rsid w:val="00E35EEB"/>
    <w:rsid w:val="00E35F07"/>
    <w:rsid w:val="00E3645F"/>
    <w:rsid w:val="00E40099"/>
    <w:rsid w:val="00E4052E"/>
    <w:rsid w:val="00E40847"/>
    <w:rsid w:val="00E40BA3"/>
    <w:rsid w:val="00E41337"/>
    <w:rsid w:val="00E41FF6"/>
    <w:rsid w:val="00E42479"/>
    <w:rsid w:val="00E424B7"/>
    <w:rsid w:val="00E427C2"/>
    <w:rsid w:val="00E435B8"/>
    <w:rsid w:val="00E440BC"/>
    <w:rsid w:val="00E440D2"/>
    <w:rsid w:val="00E44D64"/>
    <w:rsid w:val="00E44ED3"/>
    <w:rsid w:val="00E45327"/>
    <w:rsid w:val="00E4542F"/>
    <w:rsid w:val="00E455E1"/>
    <w:rsid w:val="00E463F4"/>
    <w:rsid w:val="00E47520"/>
    <w:rsid w:val="00E5047A"/>
    <w:rsid w:val="00E50519"/>
    <w:rsid w:val="00E50924"/>
    <w:rsid w:val="00E50A5B"/>
    <w:rsid w:val="00E50C0E"/>
    <w:rsid w:val="00E51005"/>
    <w:rsid w:val="00E512A6"/>
    <w:rsid w:val="00E52078"/>
    <w:rsid w:val="00E52292"/>
    <w:rsid w:val="00E52789"/>
    <w:rsid w:val="00E53804"/>
    <w:rsid w:val="00E53A0E"/>
    <w:rsid w:val="00E54111"/>
    <w:rsid w:val="00E543F3"/>
    <w:rsid w:val="00E54D00"/>
    <w:rsid w:val="00E54F4E"/>
    <w:rsid w:val="00E55967"/>
    <w:rsid w:val="00E55AFE"/>
    <w:rsid w:val="00E55C2C"/>
    <w:rsid w:val="00E55CD3"/>
    <w:rsid w:val="00E55EAD"/>
    <w:rsid w:val="00E565D6"/>
    <w:rsid w:val="00E573FC"/>
    <w:rsid w:val="00E57556"/>
    <w:rsid w:val="00E57815"/>
    <w:rsid w:val="00E57D01"/>
    <w:rsid w:val="00E60EE4"/>
    <w:rsid w:val="00E6234E"/>
    <w:rsid w:val="00E624BC"/>
    <w:rsid w:val="00E637C6"/>
    <w:rsid w:val="00E646E3"/>
    <w:rsid w:val="00E64A4E"/>
    <w:rsid w:val="00E65A55"/>
    <w:rsid w:val="00E66219"/>
    <w:rsid w:val="00E6644E"/>
    <w:rsid w:val="00E66606"/>
    <w:rsid w:val="00E668C8"/>
    <w:rsid w:val="00E67866"/>
    <w:rsid w:val="00E7092B"/>
    <w:rsid w:val="00E70D18"/>
    <w:rsid w:val="00E71296"/>
    <w:rsid w:val="00E72A59"/>
    <w:rsid w:val="00E737B6"/>
    <w:rsid w:val="00E74826"/>
    <w:rsid w:val="00E74A54"/>
    <w:rsid w:val="00E755F6"/>
    <w:rsid w:val="00E75725"/>
    <w:rsid w:val="00E759CB"/>
    <w:rsid w:val="00E76825"/>
    <w:rsid w:val="00E76B42"/>
    <w:rsid w:val="00E7731B"/>
    <w:rsid w:val="00E77ED2"/>
    <w:rsid w:val="00E801BA"/>
    <w:rsid w:val="00E804CB"/>
    <w:rsid w:val="00E80F3A"/>
    <w:rsid w:val="00E81139"/>
    <w:rsid w:val="00E81500"/>
    <w:rsid w:val="00E81705"/>
    <w:rsid w:val="00E819C9"/>
    <w:rsid w:val="00E8220E"/>
    <w:rsid w:val="00E83020"/>
    <w:rsid w:val="00E830E9"/>
    <w:rsid w:val="00E83E33"/>
    <w:rsid w:val="00E83F5C"/>
    <w:rsid w:val="00E83FAE"/>
    <w:rsid w:val="00E84832"/>
    <w:rsid w:val="00E84E45"/>
    <w:rsid w:val="00E85788"/>
    <w:rsid w:val="00E85970"/>
    <w:rsid w:val="00E85D80"/>
    <w:rsid w:val="00E86FC0"/>
    <w:rsid w:val="00E87001"/>
    <w:rsid w:val="00E8714D"/>
    <w:rsid w:val="00E87550"/>
    <w:rsid w:val="00E9001D"/>
    <w:rsid w:val="00E902F1"/>
    <w:rsid w:val="00E90320"/>
    <w:rsid w:val="00E90DC6"/>
    <w:rsid w:val="00E90EB1"/>
    <w:rsid w:val="00E91C87"/>
    <w:rsid w:val="00E922BD"/>
    <w:rsid w:val="00E92372"/>
    <w:rsid w:val="00E93224"/>
    <w:rsid w:val="00E93260"/>
    <w:rsid w:val="00E94082"/>
    <w:rsid w:val="00E94504"/>
    <w:rsid w:val="00E957C9"/>
    <w:rsid w:val="00E9649D"/>
    <w:rsid w:val="00E96E43"/>
    <w:rsid w:val="00E972FE"/>
    <w:rsid w:val="00E9755F"/>
    <w:rsid w:val="00EA0250"/>
    <w:rsid w:val="00EA07D6"/>
    <w:rsid w:val="00EA0ABA"/>
    <w:rsid w:val="00EA1C00"/>
    <w:rsid w:val="00EA4122"/>
    <w:rsid w:val="00EA4690"/>
    <w:rsid w:val="00EA498B"/>
    <w:rsid w:val="00EA4EE3"/>
    <w:rsid w:val="00EA553C"/>
    <w:rsid w:val="00EA5746"/>
    <w:rsid w:val="00EA5866"/>
    <w:rsid w:val="00EA58D4"/>
    <w:rsid w:val="00EA7140"/>
    <w:rsid w:val="00EA7687"/>
    <w:rsid w:val="00EA79A4"/>
    <w:rsid w:val="00EB1000"/>
    <w:rsid w:val="00EB2A5A"/>
    <w:rsid w:val="00EB2E4F"/>
    <w:rsid w:val="00EB36B0"/>
    <w:rsid w:val="00EB43FF"/>
    <w:rsid w:val="00EB4C11"/>
    <w:rsid w:val="00EB6645"/>
    <w:rsid w:val="00EB688E"/>
    <w:rsid w:val="00EB79A8"/>
    <w:rsid w:val="00EC1084"/>
    <w:rsid w:val="00EC1507"/>
    <w:rsid w:val="00EC16B7"/>
    <w:rsid w:val="00EC1B03"/>
    <w:rsid w:val="00EC1BCF"/>
    <w:rsid w:val="00EC21B7"/>
    <w:rsid w:val="00EC340C"/>
    <w:rsid w:val="00EC346B"/>
    <w:rsid w:val="00EC3F00"/>
    <w:rsid w:val="00EC47AB"/>
    <w:rsid w:val="00EC4F3D"/>
    <w:rsid w:val="00EC5A60"/>
    <w:rsid w:val="00EC5CE6"/>
    <w:rsid w:val="00EC608C"/>
    <w:rsid w:val="00EC676C"/>
    <w:rsid w:val="00EC6C6D"/>
    <w:rsid w:val="00EC7057"/>
    <w:rsid w:val="00EC7293"/>
    <w:rsid w:val="00EC7BDB"/>
    <w:rsid w:val="00ED0854"/>
    <w:rsid w:val="00ED08A1"/>
    <w:rsid w:val="00ED0B9B"/>
    <w:rsid w:val="00ED0C3D"/>
    <w:rsid w:val="00ED0CF2"/>
    <w:rsid w:val="00ED0D2A"/>
    <w:rsid w:val="00ED119A"/>
    <w:rsid w:val="00ED1A10"/>
    <w:rsid w:val="00ED28A8"/>
    <w:rsid w:val="00ED2CC1"/>
    <w:rsid w:val="00ED32DE"/>
    <w:rsid w:val="00ED3368"/>
    <w:rsid w:val="00ED3527"/>
    <w:rsid w:val="00ED420C"/>
    <w:rsid w:val="00ED4A08"/>
    <w:rsid w:val="00ED4A31"/>
    <w:rsid w:val="00ED4F85"/>
    <w:rsid w:val="00ED5DE1"/>
    <w:rsid w:val="00ED70B6"/>
    <w:rsid w:val="00EE06CE"/>
    <w:rsid w:val="00EE0C2A"/>
    <w:rsid w:val="00EE0C9F"/>
    <w:rsid w:val="00EE1342"/>
    <w:rsid w:val="00EE1BFA"/>
    <w:rsid w:val="00EE210A"/>
    <w:rsid w:val="00EE2EF2"/>
    <w:rsid w:val="00EE31F9"/>
    <w:rsid w:val="00EE37BE"/>
    <w:rsid w:val="00EE5327"/>
    <w:rsid w:val="00EE54BA"/>
    <w:rsid w:val="00EE556A"/>
    <w:rsid w:val="00EE5687"/>
    <w:rsid w:val="00EE60EB"/>
    <w:rsid w:val="00EE6616"/>
    <w:rsid w:val="00EE6840"/>
    <w:rsid w:val="00EE6BD9"/>
    <w:rsid w:val="00EE7CA9"/>
    <w:rsid w:val="00EF0A76"/>
    <w:rsid w:val="00EF0B47"/>
    <w:rsid w:val="00EF0DBA"/>
    <w:rsid w:val="00EF1B90"/>
    <w:rsid w:val="00EF2547"/>
    <w:rsid w:val="00EF29C0"/>
    <w:rsid w:val="00EF33E9"/>
    <w:rsid w:val="00EF427D"/>
    <w:rsid w:val="00EF433F"/>
    <w:rsid w:val="00EF4745"/>
    <w:rsid w:val="00EF5587"/>
    <w:rsid w:val="00EF5B50"/>
    <w:rsid w:val="00EF5B66"/>
    <w:rsid w:val="00EF5EBC"/>
    <w:rsid w:val="00EF6B72"/>
    <w:rsid w:val="00EF6EDE"/>
    <w:rsid w:val="00EF7248"/>
    <w:rsid w:val="00EF7302"/>
    <w:rsid w:val="00EF7722"/>
    <w:rsid w:val="00EF7C05"/>
    <w:rsid w:val="00EF7D25"/>
    <w:rsid w:val="00F00118"/>
    <w:rsid w:val="00F00135"/>
    <w:rsid w:val="00F0044E"/>
    <w:rsid w:val="00F00BE0"/>
    <w:rsid w:val="00F00F7B"/>
    <w:rsid w:val="00F00FE4"/>
    <w:rsid w:val="00F0177B"/>
    <w:rsid w:val="00F0190A"/>
    <w:rsid w:val="00F02C18"/>
    <w:rsid w:val="00F02C2E"/>
    <w:rsid w:val="00F02F5B"/>
    <w:rsid w:val="00F03133"/>
    <w:rsid w:val="00F041DE"/>
    <w:rsid w:val="00F04250"/>
    <w:rsid w:val="00F042B6"/>
    <w:rsid w:val="00F04300"/>
    <w:rsid w:val="00F043E3"/>
    <w:rsid w:val="00F04413"/>
    <w:rsid w:val="00F04FA9"/>
    <w:rsid w:val="00F050EE"/>
    <w:rsid w:val="00F057DE"/>
    <w:rsid w:val="00F06422"/>
    <w:rsid w:val="00F06CC0"/>
    <w:rsid w:val="00F070BD"/>
    <w:rsid w:val="00F079A5"/>
    <w:rsid w:val="00F10F27"/>
    <w:rsid w:val="00F11A87"/>
    <w:rsid w:val="00F12659"/>
    <w:rsid w:val="00F12D89"/>
    <w:rsid w:val="00F12F48"/>
    <w:rsid w:val="00F131C4"/>
    <w:rsid w:val="00F13DA3"/>
    <w:rsid w:val="00F1495D"/>
    <w:rsid w:val="00F15192"/>
    <w:rsid w:val="00F158CB"/>
    <w:rsid w:val="00F15AB8"/>
    <w:rsid w:val="00F15D37"/>
    <w:rsid w:val="00F165C2"/>
    <w:rsid w:val="00F165F8"/>
    <w:rsid w:val="00F16623"/>
    <w:rsid w:val="00F16628"/>
    <w:rsid w:val="00F16889"/>
    <w:rsid w:val="00F16CEE"/>
    <w:rsid w:val="00F17670"/>
    <w:rsid w:val="00F202ED"/>
    <w:rsid w:val="00F20A9A"/>
    <w:rsid w:val="00F20B8A"/>
    <w:rsid w:val="00F210EB"/>
    <w:rsid w:val="00F21389"/>
    <w:rsid w:val="00F2145F"/>
    <w:rsid w:val="00F216FA"/>
    <w:rsid w:val="00F221CC"/>
    <w:rsid w:val="00F22512"/>
    <w:rsid w:val="00F22AF9"/>
    <w:rsid w:val="00F23881"/>
    <w:rsid w:val="00F24A5B"/>
    <w:rsid w:val="00F24CCB"/>
    <w:rsid w:val="00F24F1B"/>
    <w:rsid w:val="00F25D1C"/>
    <w:rsid w:val="00F26437"/>
    <w:rsid w:val="00F2740A"/>
    <w:rsid w:val="00F27552"/>
    <w:rsid w:val="00F27EDB"/>
    <w:rsid w:val="00F302C9"/>
    <w:rsid w:val="00F30655"/>
    <w:rsid w:val="00F32088"/>
    <w:rsid w:val="00F32527"/>
    <w:rsid w:val="00F33565"/>
    <w:rsid w:val="00F342A0"/>
    <w:rsid w:val="00F34916"/>
    <w:rsid w:val="00F34B56"/>
    <w:rsid w:val="00F3593F"/>
    <w:rsid w:val="00F35A0F"/>
    <w:rsid w:val="00F364DF"/>
    <w:rsid w:val="00F3676A"/>
    <w:rsid w:val="00F371F2"/>
    <w:rsid w:val="00F37934"/>
    <w:rsid w:val="00F37D95"/>
    <w:rsid w:val="00F40758"/>
    <w:rsid w:val="00F414FE"/>
    <w:rsid w:val="00F41641"/>
    <w:rsid w:val="00F41A5A"/>
    <w:rsid w:val="00F41DDF"/>
    <w:rsid w:val="00F42F0E"/>
    <w:rsid w:val="00F443D6"/>
    <w:rsid w:val="00F44834"/>
    <w:rsid w:val="00F458B8"/>
    <w:rsid w:val="00F4604E"/>
    <w:rsid w:val="00F466FD"/>
    <w:rsid w:val="00F4688F"/>
    <w:rsid w:val="00F4730D"/>
    <w:rsid w:val="00F47AD2"/>
    <w:rsid w:val="00F47C0F"/>
    <w:rsid w:val="00F509AF"/>
    <w:rsid w:val="00F50B17"/>
    <w:rsid w:val="00F511D4"/>
    <w:rsid w:val="00F51743"/>
    <w:rsid w:val="00F52E43"/>
    <w:rsid w:val="00F53519"/>
    <w:rsid w:val="00F5354B"/>
    <w:rsid w:val="00F546C5"/>
    <w:rsid w:val="00F5485F"/>
    <w:rsid w:val="00F55022"/>
    <w:rsid w:val="00F56029"/>
    <w:rsid w:val="00F56272"/>
    <w:rsid w:val="00F56E84"/>
    <w:rsid w:val="00F571EE"/>
    <w:rsid w:val="00F57411"/>
    <w:rsid w:val="00F60237"/>
    <w:rsid w:val="00F60728"/>
    <w:rsid w:val="00F61892"/>
    <w:rsid w:val="00F618EC"/>
    <w:rsid w:val="00F620F2"/>
    <w:rsid w:val="00F62E14"/>
    <w:rsid w:val="00F63607"/>
    <w:rsid w:val="00F63AFC"/>
    <w:rsid w:val="00F63B8B"/>
    <w:rsid w:val="00F64181"/>
    <w:rsid w:val="00F64EDB"/>
    <w:rsid w:val="00F65205"/>
    <w:rsid w:val="00F658FA"/>
    <w:rsid w:val="00F66DEB"/>
    <w:rsid w:val="00F67209"/>
    <w:rsid w:val="00F672F1"/>
    <w:rsid w:val="00F67625"/>
    <w:rsid w:val="00F70393"/>
    <w:rsid w:val="00F71162"/>
    <w:rsid w:val="00F715AD"/>
    <w:rsid w:val="00F71678"/>
    <w:rsid w:val="00F71EC2"/>
    <w:rsid w:val="00F728B0"/>
    <w:rsid w:val="00F7297E"/>
    <w:rsid w:val="00F734E6"/>
    <w:rsid w:val="00F7352E"/>
    <w:rsid w:val="00F73909"/>
    <w:rsid w:val="00F73CE5"/>
    <w:rsid w:val="00F73D00"/>
    <w:rsid w:val="00F73DA7"/>
    <w:rsid w:val="00F7403B"/>
    <w:rsid w:val="00F7488B"/>
    <w:rsid w:val="00F75209"/>
    <w:rsid w:val="00F7578F"/>
    <w:rsid w:val="00F75CF0"/>
    <w:rsid w:val="00F768AB"/>
    <w:rsid w:val="00F77F0C"/>
    <w:rsid w:val="00F80749"/>
    <w:rsid w:val="00F80804"/>
    <w:rsid w:val="00F81C2A"/>
    <w:rsid w:val="00F81EC6"/>
    <w:rsid w:val="00F82322"/>
    <w:rsid w:val="00F82E95"/>
    <w:rsid w:val="00F82E9E"/>
    <w:rsid w:val="00F83385"/>
    <w:rsid w:val="00F837F0"/>
    <w:rsid w:val="00F83875"/>
    <w:rsid w:val="00F840CB"/>
    <w:rsid w:val="00F84A21"/>
    <w:rsid w:val="00F84D1A"/>
    <w:rsid w:val="00F84DFB"/>
    <w:rsid w:val="00F85255"/>
    <w:rsid w:val="00F855CE"/>
    <w:rsid w:val="00F8596D"/>
    <w:rsid w:val="00F86786"/>
    <w:rsid w:val="00F86AB7"/>
    <w:rsid w:val="00F86DE4"/>
    <w:rsid w:val="00F86F7B"/>
    <w:rsid w:val="00F901CB"/>
    <w:rsid w:val="00F90255"/>
    <w:rsid w:val="00F90A32"/>
    <w:rsid w:val="00F90C02"/>
    <w:rsid w:val="00F90DE6"/>
    <w:rsid w:val="00F91DC3"/>
    <w:rsid w:val="00F925D7"/>
    <w:rsid w:val="00F926A9"/>
    <w:rsid w:val="00F92767"/>
    <w:rsid w:val="00F92789"/>
    <w:rsid w:val="00F93313"/>
    <w:rsid w:val="00F9436D"/>
    <w:rsid w:val="00F94758"/>
    <w:rsid w:val="00F9627F"/>
    <w:rsid w:val="00F97115"/>
    <w:rsid w:val="00F9729D"/>
    <w:rsid w:val="00FA0A84"/>
    <w:rsid w:val="00FA0D71"/>
    <w:rsid w:val="00FA0E3A"/>
    <w:rsid w:val="00FA214E"/>
    <w:rsid w:val="00FA2CD9"/>
    <w:rsid w:val="00FA2D4B"/>
    <w:rsid w:val="00FA3732"/>
    <w:rsid w:val="00FA3C61"/>
    <w:rsid w:val="00FA4054"/>
    <w:rsid w:val="00FA4B1E"/>
    <w:rsid w:val="00FA541B"/>
    <w:rsid w:val="00FA58D0"/>
    <w:rsid w:val="00FA5F89"/>
    <w:rsid w:val="00FB110D"/>
    <w:rsid w:val="00FB17AD"/>
    <w:rsid w:val="00FB17F1"/>
    <w:rsid w:val="00FB2A3A"/>
    <w:rsid w:val="00FB32EC"/>
    <w:rsid w:val="00FB3657"/>
    <w:rsid w:val="00FB3B79"/>
    <w:rsid w:val="00FB4870"/>
    <w:rsid w:val="00FB4F6A"/>
    <w:rsid w:val="00FB535F"/>
    <w:rsid w:val="00FB584B"/>
    <w:rsid w:val="00FB59F7"/>
    <w:rsid w:val="00FB59FA"/>
    <w:rsid w:val="00FB5DD6"/>
    <w:rsid w:val="00FB6ABE"/>
    <w:rsid w:val="00FB7367"/>
    <w:rsid w:val="00FB7809"/>
    <w:rsid w:val="00FC0645"/>
    <w:rsid w:val="00FC0BD0"/>
    <w:rsid w:val="00FC1108"/>
    <w:rsid w:val="00FC236A"/>
    <w:rsid w:val="00FC256D"/>
    <w:rsid w:val="00FC34D9"/>
    <w:rsid w:val="00FC36A1"/>
    <w:rsid w:val="00FC36FE"/>
    <w:rsid w:val="00FC3970"/>
    <w:rsid w:val="00FC4896"/>
    <w:rsid w:val="00FC48B0"/>
    <w:rsid w:val="00FC5194"/>
    <w:rsid w:val="00FC5E01"/>
    <w:rsid w:val="00FC6225"/>
    <w:rsid w:val="00FC6A6E"/>
    <w:rsid w:val="00FC7AA3"/>
    <w:rsid w:val="00FC7BCC"/>
    <w:rsid w:val="00FD004A"/>
    <w:rsid w:val="00FD053D"/>
    <w:rsid w:val="00FD08A9"/>
    <w:rsid w:val="00FD0997"/>
    <w:rsid w:val="00FD0FB7"/>
    <w:rsid w:val="00FD1474"/>
    <w:rsid w:val="00FD27BE"/>
    <w:rsid w:val="00FD2BC1"/>
    <w:rsid w:val="00FD2D6E"/>
    <w:rsid w:val="00FD3C96"/>
    <w:rsid w:val="00FD4D13"/>
    <w:rsid w:val="00FD4EC8"/>
    <w:rsid w:val="00FD5041"/>
    <w:rsid w:val="00FD6811"/>
    <w:rsid w:val="00FD6B45"/>
    <w:rsid w:val="00FD7929"/>
    <w:rsid w:val="00FD7A74"/>
    <w:rsid w:val="00FE009E"/>
    <w:rsid w:val="00FE0A27"/>
    <w:rsid w:val="00FE0B71"/>
    <w:rsid w:val="00FE0D2D"/>
    <w:rsid w:val="00FE18AF"/>
    <w:rsid w:val="00FE1FE8"/>
    <w:rsid w:val="00FE2005"/>
    <w:rsid w:val="00FE2754"/>
    <w:rsid w:val="00FE3461"/>
    <w:rsid w:val="00FE3805"/>
    <w:rsid w:val="00FE40D9"/>
    <w:rsid w:val="00FE4C9A"/>
    <w:rsid w:val="00FE5814"/>
    <w:rsid w:val="00FE5BAD"/>
    <w:rsid w:val="00FE5F51"/>
    <w:rsid w:val="00FE67F4"/>
    <w:rsid w:val="00FE7A10"/>
    <w:rsid w:val="00FF01BD"/>
    <w:rsid w:val="00FF01E8"/>
    <w:rsid w:val="00FF0230"/>
    <w:rsid w:val="00FF0FFA"/>
    <w:rsid w:val="00FF162F"/>
    <w:rsid w:val="00FF1657"/>
    <w:rsid w:val="00FF1DB2"/>
    <w:rsid w:val="00FF1FF0"/>
    <w:rsid w:val="00FF2BC0"/>
    <w:rsid w:val="00FF2C19"/>
    <w:rsid w:val="00FF3773"/>
    <w:rsid w:val="00FF39B6"/>
    <w:rsid w:val="00FF3B41"/>
    <w:rsid w:val="00FF3BBE"/>
    <w:rsid w:val="00FF40F2"/>
    <w:rsid w:val="00FF5547"/>
    <w:rsid w:val="00FF5A33"/>
    <w:rsid w:val="00FF61D5"/>
    <w:rsid w:val="00FF6410"/>
    <w:rsid w:val="00FF68D7"/>
    <w:rsid w:val="00FF7242"/>
    <w:rsid w:val="1EFF8F07"/>
    <w:rsid w:val="1F6FE9E2"/>
    <w:rsid w:val="27FD022A"/>
    <w:rsid w:val="2BF44F60"/>
    <w:rsid w:val="2DFB7B97"/>
    <w:rsid w:val="2FED4D69"/>
    <w:rsid w:val="31FFAFA0"/>
    <w:rsid w:val="33FD2F7E"/>
    <w:rsid w:val="357F3873"/>
    <w:rsid w:val="39FEAAA8"/>
    <w:rsid w:val="3A5F6BD0"/>
    <w:rsid w:val="3B5FF325"/>
    <w:rsid w:val="3BAFFB01"/>
    <w:rsid w:val="3CAF3E0E"/>
    <w:rsid w:val="3DFB1867"/>
    <w:rsid w:val="3E8DA360"/>
    <w:rsid w:val="3FB6088C"/>
    <w:rsid w:val="3FBF56AC"/>
    <w:rsid w:val="3FD7DC22"/>
    <w:rsid w:val="3FFD1582"/>
    <w:rsid w:val="4D7D6C3D"/>
    <w:rsid w:val="4DFCD930"/>
    <w:rsid w:val="4FF6268A"/>
    <w:rsid w:val="53FC4F39"/>
    <w:rsid w:val="56AF4107"/>
    <w:rsid w:val="56EF9B74"/>
    <w:rsid w:val="579CFE5C"/>
    <w:rsid w:val="57EF84C7"/>
    <w:rsid w:val="57FF688A"/>
    <w:rsid w:val="59FB35F8"/>
    <w:rsid w:val="5AF791C0"/>
    <w:rsid w:val="5BDB13CA"/>
    <w:rsid w:val="5BFF3DFE"/>
    <w:rsid w:val="5CDF109F"/>
    <w:rsid w:val="5D7BA1A4"/>
    <w:rsid w:val="5D7D09A9"/>
    <w:rsid w:val="5DEE8317"/>
    <w:rsid w:val="5DFFF6D0"/>
    <w:rsid w:val="5E7F57E4"/>
    <w:rsid w:val="5F0F4972"/>
    <w:rsid w:val="5F7F7594"/>
    <w:rsid w:val="5FD9EAC8"/>
    <w:rsid w:val="5FEF59AC"/>
    <w:rsid w:val="61FCAC07"/>
    <w:rsid w:val="62BB07AE"/>
    <w:rsid w:val="66F6C343"/>
    <w:rsid w:val="67E76FED"/>
    <w:rsid w:val="6BBB85B9"/>
    <w:rsid w:val="6D433F26"/>
    <w:rsid w:val="6D5FE320"/>
    <w:rsid w:val="6FAEBFCE"/>
    <w:rsid w:val="6FDBBB23"/>
    <w:rsid w:val="6FF7FF93"/>
    <w:rsid w:val="70BF114D"/>
    <w:rsid w:val="713E19EE"/>
    <w:rsid w:val="71BFE686"/>
    <w:rsid w:val="73BFB677"/>
    <w:rsid w:val="73DF3EB5"/>
    <w:rsid w:val="75BBAE49"/>
    <w:rsid w:val="75FA169C"/>
    <w:rsid w:val="776F2362"/>
    <w:rsid w:val="77E7FA27"/>
    <w:rsid w:val="77FE11A3"/>
    <w:rsid w:val="77FFA235"/>
    <w:rsid w:val="78FB7B1E"/>
    <w:rsid w:val="79AF1824"/>
    <w:rsid w:val="79BF8AFF"/>
    <w:rsid w:val="79DF5545"/>
    <w:rsid w:val="7B1547B7"/>
    <w:rsid w:val="7BAD7B5A"/>
    <w:rsid w:val="7C7307AE"/>
    <w:rsid w:val="7DB91263"/>
    <w:rsid w:val="7DFDCA4A"/>
    <w:rsid w:val="7EDEA3B5"/>
    <w:rsid w:val="7EDF93FA"/>
    <w:rsid w:val="7EFF0703"/>
    <w:rsid w:val="7F31ED86"/>
    <w:rsid w:val="7F37B7B2"/>
    <w:rsid w:val="7F752A79"/>
    <w:rsid w:val="7FBC3E07"/>
    <w:rsid w:val="7FD85690"/>
    <w:rsid w:val="7FDB8C1A"/>
    <w:rsid w:val="7FDF6D4B"/>
    <w:rsid w:val="7FE30741"/>
    <w:rsid w:val="7FE62C9F"/>
    <w:rsid w:val="7FEBAA30"/>
    <w:rsid w:val="7FEF5395"/>
    <w:rsid w:val="7FFDC8AB"/>
    <w:rsid w:val="7FFF7C1C"/>
    <w:rsid w:val="7FFFDB96"/>
    <w:rsid w:val="7FFFE18D"/>
    <w:rsid w:val="8BBEAB23"/>
    <w:rsid w:val="8EFFE648"/>
    <w:rsid w:val="95A1194B"/>
    <w:rsid w:val="9D7DF8E5"/>
    <w:rsid w:val="9EBFE514"/>
    <w:rsid w:val="9FFFFEFD"/>
    <w:rsid w:val="A5FF972F"/>
    <w:rsid w:val="AEFF9A5E"/>
    <w:rsid w:val="AFFB2FE2"/>
    <w:rsid w:val="B6DFB4C7"/>
    <w:rsid w:val="B9FF5E62"/>
    <w:rsid w:val="BBE76E3A"/>
    <w:rsid w:val="BCFC5D59"/>
    <w:rsid w:val="BD3C412B"/>
    <w:rsid w:val="BE3FED98"/>
    <w:rsid w:val="BEFF0FD2"/>
    <w:rsid w:val="BF77E344"/>
    <w:rsid w:val="BF986962"/>
    <w:rsid w:val="C33C1944"/>
    <w:rsid w:val="C7EE9EC8"/>
    <w:rsid w:val="CB3BB2AE"/>
    <w:rsid w:val="CB55D1A4"/>
    <w:rsid w:val="CFFD85D5"/>
    <w:rsid w:val="D3FD4A40"/>
    <w:rsid w:val="D7F5E33D"/>
    <w:rsid w:val="DBEFE557"/>
    <w:rsid w:val="DDFB56BA"/>
    <w:rsid w:val="DE6F15A8"/>
    <w:rsid w:val="DF273B5B"/>
    <w:rsid w:val="DFC637A6"/>
    <w:rsid w:val="DFFBFCBF"/>
    <w:rsid w:val="E7DE6FA8"/>
    <w:rsid w:val="EBFDB397"/>
    <w:rsid w:val="EE279EE4"/>
    <w:rsid w:val="EEF5E1F5"/>
    <w:rsid w:val="EFDB22A6"/>
    <w:rsid w:val="EFF75809"/>
    <w:rsid w:val="F335E04D"/>
    <w:rsid w:val="F3F3F51A"/>
    <w:rsid w:val="F3FA6A67"/>
    <w:rsid w:val="F3FF3FD8"/>
    <w:rsid w:val="F4E44D05"/>
    <w:rsid w:val="F54D42AD"/>
    <w:rsid w:val="F5FDB95D"/>
    <w:rsid w:val="F6FF88D2"/>
    <w:rsid w:val="F77DE7CF"/>
    <w:rsid w:val="F7AF3FED"/>
    <w:rsid w:val="F7EF7072"/>
    <w:rsid w:val="F7EFD565"/>
    <w:rsid w:val="F9F63D6F"/>
    <w:rsid w:val="FAEF6FB5"/>
    <w:rsid w:val="FBD3D08F"/>
    <w:rsid w:val="FBDF7770"/>
    <w:rsid w:val="FBFF17E0"/>
    <w:rsid w:val="FD7F6033"/>
    <w:rsid w:val="FDAB168A"/>
    <w:rsid w:val="FDDFEB44"/>
    <w:rsid w:val="FEEB868A"/>
    <w:rsid w:val="FEFD0A3A"/>
    <w:rsid w:val="FEFFFF01"/>
    <w:rsid w:val="FF630E89"/>
    <w:rsid w:val="FF7EEC19"/>
    <w:rsid w:val="FF9B63E3"/>
    <w:rsid w:val="FF9DC188"/>
    <w:rsid w:val="FFBD89A1"/>
    <w:rsid w:val="FFBF2C89"/>
    <w:rsid w:val="FFD3EA01"/>
    <w:rsid w:val="FFEDA47F"/>
    <w:rsid w:val="FFEF30B1"/>
    <w:rsid w:val="FFEF97BC"/>
    <w:rsid w:val="FFF6E2D7"/>
    <w:rsid w:val="FFF7448A"/>
    <w:rsid w:val="FFF75830"/>
    <w:rsid w:val="FFFDB01B"/>
    <w:rsid w:val="FFFF59CD"/>
    <w:rsid w:val="FFFFD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6">
    <w:name w:val="heading 2"/>
    <w:basedOn w:val="1"/>
    <w:next w:val="1"/>
    <w:link w:val="4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2">
    <w:name w:val="heading 4"/>
    <w:basedOn w:val="1"/>
    <w:next w:val="3"/>
    <w:unhideWhenUsed/>
    <w:qFormat/>
    <w:uiPriority w:val="0"/>
    <w:pPr>
      <w:keepNext/>
      <w:keepLines/>
      <w:numPr>
        <w:ilvl w:val="3"/>
        <w:numId w:val="1"/>
      </w:numPr>
      <w:spacing w:before="280" w:after="290" w:line="376" w:lineRule="atLeast"/>
      <w:outlineLvl w:val="3"/>
    </w:pPr>
    <w:rPr>
      <w:rFonts w:ascii="等线 Light" w:hAnsi="等线 Light" w:eastAsia="等线 Light" w:cs="Times New Roman"/>
      <w:b/>
      <w:bCs/>
      <w:sz w:val="28"/>
      <w:szCs w:val="28"/>
    </w:rPr>
  </w:style>
  <w:style w:type="paragraph" w:styleId="3">
    <w:name w:val="heading 5"/>
    <w:basedOn w:val="1"/>
    <w:next w:val="4"/>
    <w:unhideWhenUsed/>
    <w:qFormat/>
    <w:uiPriority w:val="0"/>
    <w:pPr>
      <w:keepNext/>
      <w:keepLines/>
      <w:numPr>
        <w:ilvl w:val="4"/>
        <w:numId w:val="1"/>
      </w:numPr>
      <w:spacing w:before="280" w:after="290" w:line="376" w:lineRule="auto"/>
      <w:outlineLvl w:val="4"/>
    </w:pPr>
    <w:rPr>
      <w:rFonts w:ascii="Calibri" w:hAnsi="Calibri"/>
      <w:b/>
      <w:bCs/>
      <w:szCs w:val="28"/>
    </w:rPr>
  </w:style>
  <w:style w:type="paragraph" w:styleId="4">
    <w:name w:val="heading 6"/>
    <w:basedOn w:val="1"/>
    <w:next w:val="1"/>
    <w:unhideWhenUsed/>
    <w:qFormat/>
    <w:uiPriority w:val="0"/>
    <w:pPr>
      <w:keepNext/>
      <w:keepLines/>
      <w:numPr>
        <w:ilvl w:val="5"/>
        <w:numId w:val="1"/>
      </w:numPr>
      <w:spacing w:before="240" w:after="64" w:line="320" w:lineRule="auto"/>
      <w:outlineLvl w:val="5"/>
    </w:pPr>
    <w:rPr>
      <w:rFonts w:ascii="Calibri" w:hAnsi="Calibri"/>
      <w:b/>
      <w:bCs/>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7">
    <w:name w:val="caption"/>
    <w:basedOn w:val="1"/>
    <w:next w:val="1"/>
    <w:unhideWhenUsed/>
    <w:qFormat/>
    <w:uiPriority w:val="0"/>
    <w:rPr>
      <w:rFonts w:eastAsia="黑体" w:asciiTheme="majorHAnsi" w:hAnsiTheme="majorHAnsi" w:cstheme="majorBidi"/>
      <w:sz w:val="20"/>
      <w:szCs w:val="20"/>
    </w:rPr>
  </w:style>
  <w:style w:type="paragraph" w:styleId="8">
    <w:name w:val="annotation text"/>
    <w:basedOn w:val="1"/>
    <w:link w:val="32"/>
    <w:qFormat/>
    <w:uiPriority w:val="99"/>
    <w:pPr>
      <w:jc w:val="left"/>
    </w:pPr>
  </w:style>
  <w:style w:type="paragraph" w:styleId="9">
    <w:name w:val="Body Text"/>
    <w:basedOn w:val="1"/>
    <w:qFormat/>
    <w:uiPriority w:val="0"/>
    <w:rPr>
      <w:rFonts w:ascii="宋体" w:hAnsi="宋体" w:eastAsia="宋体" w:cs="宋体"/>
      <w:sz w:val="22"/>
      <w:szCs w:val="22"/>
      <w:lang w:val="zh-CN" w:bidi="zh-CN"/>
    </w:rPr>
  </w:style>
  <w:style w:type="paragraph" w:styleId="10">
    <w:name w:val="Date"/>
    <w:basedOn w:val="1"/>
    <w:next w:val="1"/>
    <w:link w:val="39"/>
    <w:qFormat/>
    <w:uiPriority w:val="0"/>
    <w:rPr>
      <w:rFonts w:ascii="宋体" w:hAnsi="Times New Roman" w:eastAsia="宋体" w:cs="Times New Roman"/>
      <w:sz w:val="24"/>
      <w:szCs w:val="20"/>
    </w:rPr>
  </w:style>
  <w:style w:type="paragraph" w:styleId="11">
    <w:name w:val="Balloon Text"/>
    <w:basedOn w:val="1"/>
    <w:link w:val="34"/>
    <w:qFormat/>
    <w:uiPriority w:val="0"/>
    <w:rPr>
      <w:sz w:val="18"/>
      <w:szCs w:val="18"/>
    </w:rPr>
  </w:style>
  <w:style w:type="paragraph" w:styleId="12">
    <w:name w:val="footer"/>
    <w:basedOn w:val="1"/>
    <w:link w:val="35"/>
    <w:qFormat/>
    <w:uiPriority w:val="99"/>
    <w:pPr>
      <w:tabs>
        <w:tab w:val="center" w:pos="4153"/>
        <w:tab w:val="right" w:pos="8306"/>
      </w:tabs>
      <w:snapToGrid w:val="0"/>
      <w:jc w:val="left"/>
    </w:pPr>
    <w:rPr>
      <w:sz w:val="18"/>
      <w:szCs w:val="18"/>
    </w:rPr>
  </w:style>
  <w:style w:type="paragraph" w:styleId="13">
    <w:name w:val="header"/>
    <w:basedOn w:val="1"/>
    <w:link w:val="40"/>
    <w:qFormat/>
    <w:uiPriority w:val="99"/>
    <w:pPr>
      <w:pBdr>
        <w:bottom w:val="single" w:color="auto" w:sz="6" w:space="1"/>
      </w:pBdr>
      <w:tabs>
        <w:tab w:val="center" w:pos="4153"/>
        <w:tab w:val="right" w:pos="8306"/>
      </w:tabs>
      <w:snapToGrid w:val="0"/>
      <w:jc w:val="center"/>
    </w:pPr>
    <w:rPr>
      <w:sz w:val="18"/>
      <w:szCs w:val="18"/>
    </w:rPr>
  </w:style>
  <w:style w:type="paragraph" w:styleId="1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15">
    <w:name w:val="Normal (Web)"/>
    <w:basedOn w:val="1"/>
    <w:qFormat/>
    <w:uiPriority w:val="99"/>
    <w:pPr>
      <w:spacing w:beforeAutospacing="1" w:afterAutospacing="1"/>
      <w:jc w:val="left"/>
    </w:pPr>
    <w:rPr>
      <w:rFonts w:cs="Times New Roman"/>
      <w:kern w:val="0"/>
      <w:sz w:val="24"/>
    </w:rPr>
  </w:style>
  <w:style w:type="paragraph" w:styleId="16">
    <w:name w:val="annotation subject"/>
    <w:basedOn w:val="8"/>
    <w:next w:val="8"/>
    <w:link w:val="33"/>
    <w:qFormat/>
    <w:uiPriority w:val="0"/>
    <w:rPr>
      <w:b/>
      <w:bC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rPr>
  </w:style>
  <w:style w:type="character" w:styleId="21">
    <w:name w:val="annotation reference"/>
    <w:basedOn w:val="19"/>
    <w:qFormat/>
    <w:uiPriority w:val="0"/>
    <w:rPr>
      <w:sz w:val="21"/>
      <w:szCs w:val="21"/>
    </w:rPr>
  </w:style>
  <w:style w:type="paragraph" w:customStyle="1" w:styleId="22">
    <w:name w:val="p2"/>
    <w:basedOn w:val="1"/>
    <w:qFormat/>
    <w:uiPriority w:val="0"/>
    <w:pPr>
      <w:jc w:val="left"/>
    </w:pPr>
    <w:rPr>
      <w:rFonts w:ascii="Helvetica" w:hAnsi="Helvetica" w:eastAsia="Helvetica" w:cs="Times New Roman"/>
      <w:kern w:val="0"/>
      <w:sz w:val="72"/>
      <w:szCs w:val="72"/>
    </w:rPr>
  </w:style>
  <w:style w:type="paragraph" w:customStyle="1" w:styleId="23">
    <w:name w:val="p1"/>
    <w:basedOn w:val="1"/>
    <w:qFormat/>
    <w:uiPriority w:val="0"/>
    <w:pPr>
      <w:jc w:val="left"/>
    </w:pPr>
    <w:rPr>
      <w:rFonts w:ascii="Helvetica" w:hAnsi="Helvetica" w:eastAsia="Helvetica" w:cs="Times New Roman"/>
      <w:kern w:val="0"/>
      <w:sz w:val="24"/>
    </w:rPr>
  </w:style>
  <w:style w:type="paragraph" w:customStyle="1" w:styleId="24">
    <w:name w:val="p4"/>
    <w:basedOn w:val="1"/>
    <w:qFormat/>
    <w:uiPriority w:val="0"/>
    <w:pPr>
      <w:jc w:val="left"/>
    </w:pPr>
    <w:rPr>
      <w:rFonts w:ascii="Helvetica" w:hAnsi="Helvetica" w:eastAsia="Helvetica" w:cs="Times New Roman"/>
      <w:kern w:val="0"/>
      <w:sz w:val="28"/>
      <w:szCs w:val="28"/>
    </w:rPr>
  </w:style>
  <w:style w:type="character" w:customStyle="1" w:styleId="25">
    <w:name w:val="s1"/>
    <w:basedOn w:val="19"/>
    <w:qFormat/>
    <w:uiPriority w:val="0"/>
    <w:rPr>
      <w:rFonts w:hint="default" w:ascii="Helvetica" w:hAnsi="Helvetica" w:eastAsia="Helvetica" w:cs="Helvetica"/>
      <w:sz w:val="24"/>
      <w:szCs w:val="24"/>
    </w:rPr>
  </w:style>
  <w:style w:type="character" w:customStyle="1" w:styleId="26">
    <w:name w:val="s2"/>
    <w:basedOn w:val="19"/>
    <w:qFormat/>
    <w:uiPriority w:val="0"/>
    <w:rPr>
      <w:rFonts w:hint="default" w:ascii="Helvetica" w:hAnsi="Helvetica" w:eastAsia="Helvetica" w:cs="Helvetica"/>
      <w:sz w:val="36"/>
      <w:szCs w:val="36"/>
    </w:rPr>
  </w:style>
  <w:style w:type="paragraph" w:customStyle="1" w:styleId="27">
    <w:name w:val="p3"/>
    <w:basedOn w:val="1"/>
    <w:qFormat/>
    <w:uiPriority w:val="0"/>
    <w:pPr>
      <w:jc w:val="left"/>
    </w:pPr>
    <w:rPr>
      <w:rFonts w:ascii="Helvetica" w:hAnsi="Helvetica" w:eastAsia="Helvetica" w:cs="Times New Roman"/>
      <w:kern w:val="0"/>
      <w:szCs w:val="21"/>
    </w:rPr>
  </w:style>
  <w:style w:type="paragraph" w:customStyle="1" w:styleId="28">
    <w:name w:val="YS3-条"/>
    <w:basedOn w:val="1"/>
    <w:qFormat/>
    <w:uiPriority w:val="0"/>
    <w:pPr>
      <w:numPr>
        <w:ilvl w:val="2"/>
        <w:numId w:val="2"/>
      </w:numPr>
      <w:tabs>
        <w:tab w:val="left" w:pos="1276"/>
        <w:tab w:val="left" w:pos="1843"/>
      </w:tabs>
      <w:adjustRightInd w:val="0"/>
      <w:snapToGrid w:val="0"/>
      <w:spacing w:line="560" w:lineRule="exact"/>
    </w:pPr>
    <w:rPr>
      <w:rFonts w:ascii="Times New Roman" w:hAnsi="Times New Roman" w:eastAsia="仿宋"/>
      <w:sz w:val="32"/>
      <w:szCs w:val="32"/>
    </w:rPr>
  </w:style>
  <w:style w:type="paragraph" w:customStyle="1" w:styleId="29">
    <w:name w:val="页脚左端（InfoBeat）"/>
    <w:basedOn w:val="1"/>
    <w:qFormat/>
    <w:uiPriority w:val="0"/>
    <w:pPr>
      <w:pBdr>
        <w:top w:val="single" w:color="auto" w:sz="4" w:space="4"/>
      </w:pBdr>
      <w:tabs>
        <w:tab w:val="center" w:pos="4153"/>
        <w:tab w:val="right" w:pos="8306"/>
      </w:tabs>
      <w:snapToGrid w:val="0"/>
      <w:spacing w:before="100" w:beforeAutospacing="1"/>
      <w:jc w:val="left"/>
    </w:pPr>
    <w:rPr>
      <w:b/>
      <w:sz w:val="18"/>
      <w:szCs w:val="18"/>
    </w:rPr>
  </w:style>
  <w:style w:type="table" w:customStyle="1" w:styleId="30">
    <w:name w:val="网格型1"/>
    <w:basedOn w:val="17"/>
    <w:qFormat/>
    <w:uiPriority w:val="59"/>
    <w:rPr>
      <w:rFonts w:eastAsia="Times New Roman"/>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1">
    <w:name w:val="网格表 1 浅色 - 着色 11"/>
    <w:basedOn w:val="17"/>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character" w:customStyle="1" w:styleId="32">
    <w:name w:val="批注文字 字符"/>
    <w:basedOn w:val="19"/>
    <w:link w:val="8"/>
    <w:qFormat/>
    <w:uiPriority w:val="99"/>
    <w:rPr>
      <w:rFonts w:asciiTheme="minorHAnsi" w:hAnsiTheme="minorHAnsi" w:eastAsiaTheme="minorEastAsia" w:cstheme="minorBidi"/>
      <w:kern w:val="2"/>
      <w:sz w:val="21"/>
      <w:szCs w:val="24"/>
    </w:rPr>
  </w:style>
  <w:style w:type="character" w:customStyle="1" w:styleId="33">
    <w:name w:val="批注主题 字符"/>
    <w:basedOn w:val="32"/>
    <w:link w:val="16"/>
    <w:qFormat/>
    <w:uiPriority w:val="0"/>
    <w:rPr>
      <w:rFonts w:asciiTheme="minorHAnsi" w:hAnsiTheme="minorHAnsi" w:eastAsiaTheme="minorEastAsia" w:cstheme="minorBidi"/>
      <w:b/>
      <w:bCs/>
      <w:kern w:val="2"/>
      <w:sz w:val="21"/>
      <w:szCs w:val="24"/>
    </w:rPr>
  </w:style>
  <w:style w:type="character" w:customStyle="1" w:styleId="34">
    <w:name w:val="批注框文本 字符"/>
    <w:basedOn w:val="19"/>
    <w:link w:val="11"/>
    <w:qFormat/>
    <w:uiPriority w:val="0"/>
    <w:rPr>
      <w:rFonts w:asciiTheme="minorHAnsi" w:hAnsiTheme="minorHAnsi" w:eastAsiaTheme="minorEastAsia" w:cstheme="minorBidi"/>
      <w:kern w:val="2"/>
      <w:sz w:val="18"/>
      <w:szCs w:val="18"/>
    </w:rPr>
  </w:style>
  <w:style w:type="character" w:customStyle="1" w:styleId="35">
    <w:name w:val="页脚 字符"/>
    <w:basedOn w:val="19"/>
    <w:link w:val="12"/>
    <w:qFormat/>
    <w:uiPriority w:val="99"/>
    <w:rPr>
      <w:rFonts w:asciiTheme="minorHAnsi" w:hAnsiTheme="minorHAnsi" w:eastAsiaTheme="minorEastAsia" w:cstheme="minorBidi"/>
      <w:kern w:val="2"/>
      <w:sz w:val="18"/>
      <w:szCs w:val="18"/>
    </w:rPr>
  </w:style>
  <w:style w:type="paragraph" w:customStyle="1" w:styleId="36">
    <w:name w:val="列出段落1"/>
    <w:basedOn w:val="1"/>
    <w:link w:val="38"/>
    <w:qFormat/>
    <w:uiPriority w:val="34"/>
    <w:pPr>
      <w:ind w:firstLine="420" w:firstLineChars="200"/>
    </w:pPr>
  </w:style>
  <w:style w:type="paragraph" w:customStyle="1" w:styleId="37">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38">
    <w:name w:val="列出段落 Char"/>
    <w:link w:val="36"/>
    <w:qFormat/>
    <w:uiPriority w:val="34"/>
    <w:rPr>
      <w:rFonts w:asciiTheme="minorHAnsi" w:hAnsiTheme="minorHAnsi" w:eastAsiaTheme="minorEastAsia" w:cstheme="minorBidi"/>
      <w:kern w:val="2"/>
      <w:sz w:val="21"/>
      <w:szCs w:val="24"/>
    </w:rPr>
  </w:style>
  <w:style w:type="character" w:customStyle="1" w:styleId="39">
    <w:name w:val="日期 字符"/>
    <w:basedOn w:val="19"/>
    <w:link w:val="10"/>
    <w:qFormat/>
    <w:uiPriority w:val="0"/>
    <w:rPr>
      <w:rFonts w:ascii="宋体"/>
      <w:kern w:val="2"/>
      <w:sz w:val="24"/>
    </w:rPr>
  </w:style>
  <w:style w:type="character" w:customStyle="1" w:styleId="40">
    <w:name w:val="页眉 字符"/>
    <w:basedOn w:val="19"/>
    <w:link w:val="13"/>
    <w:qFormat/>
    <w:uiPriority w:val="99"/>
    <w:rPr>
      <w:rFonts w:asciiTheme="minorHAnsi" w:hAnsiTheme="minorHAnsi" w:eastAsiaTheme="minorEastAsia" w:cstheme="minorBidi"/>
      <w:kern w:val="2"/>
      <w:sz w:val="18"/>
      <w:szCs w:val="18"/>
    </w:rPr>
  </w:style>
  <w:style w:type="character" w:customStyle="1" w:styleId="41">
    <w:name w:val="标题 2 字符"/>
    <w:basedOn w:val="19"/>
    <w:link w:val="6"/>
    <w:qFormat/>
    <w:uiPriority w:val="0"/>
    <w:rPr>
      <w:rFonts w:ascii="宋体" w:hAnsi="宋体"/>
      <w:b/>
      <w:sz w:val="36"/>
      <w:szCs w:val="36"/>
    </w:rPr>
  </w:style>
  <w:style w:type="paragraph" w:customStyle="1" w:styleId="42">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styleId="43">
    <w:name w:val="List Paragraph"/>
    <w:basedOn w:val="1"/>
    <w:qFormat/>
    <w:uiPriority w:val="34"/>
    <w:pPr>
      <w:ind w:firstLine="420" w:firstLineChars="200"/>
    </w:pPr>
  </w:style>
  <w:style w:type="paragraph" w:customStyle="1" w:styleId="44">
    <w:name w:val="正文1"/>
    <w:basedOn w:val="1"/>
    <w:link w:val="45"/>
    <w:qFormat/>
    <w:uiPriority w:val="0"/>
    <w:pPr>
      <w:widowControl/>
      <w:spacing w:after="120" w:line="259" w:lineRule="auto"/>
      <w:ind w:firstLine="200" w:firstLineChars="200"/>
      <w:jc w:val="left"/>
    </w:pPr>
    <w:rPr>
      <w:rFonts w:eastAsia="微软雅黑"/>
      <w:kern w:val="0"/>
      <w:sz w:val="24"/>
      <w:szCs w:val="22"/>
      <w:lang w:bidi="en-US"/>
    </w:rPr>
  </w:style>
  <w:style w:type="character" w:customStyle="1" w:styleId="45">
    <w:name w:val="正文 Char"/>
    <w:basedOn w:val="19"/>
    <w:link w:val="44"/>
    <w:qFormat/>
    <w:uiPriority w:val="0"/>
    <w:rPr>
      <w:rFonts w:eastAsia="微软雅黑" w:asciiTheme="minorHAnsi" w:hAnsiTheme="minorHAnsi" w:cstheme="minorBidi"/>
      <w:sz w:val="24"/>
      <w:szCs w:val="22"/>
      <w:lang w:bidi="en-US"/>
    </w:rPr>
  </w:style>
  <w:style w:type="paragraph" w:customStyle="1" w:styleId="46">
    <w:name w:val="表格标题"/>
    <w:link w:val="47"/>
    <w:qFormat/>
    <w:uiPriority w:val="0"/>
    <w:pPr>
      <w:snapToGrid w:val="0"/>
      <w:spacing w:before="40" w:after="40"/>
      <w:jc w:val="center"/>
    </w:pPr>
    <w:rPr>
      <w:rFonts w:ascii="黑体" w:hAnsi="黑体" w:eastAsia="黑体" w:cstheme="minorBidi"/>
      <w:b/>
      <w:kern w:val="2"/>
      <w:sz w:val="18"/>
      <w:szCs w:val="18"/>
      <w:lang w:val="en-US" w:eastAsia="zh-CN" w:bidi="ar-SA"/>
    </w:rPr>
  </w:style>
  <w:style w:type="character" w:customStyle="1" w:styleId="47">
    <w:name w:val="表格标题 Char"/>
    <w:basedOn w:val="19"/>
    <w:link w:val="46"/>
    <w:qFormat/>
    <w:uiPriority w:val="0"/>
    <w:rPr>
      <w:rFonts w:ascii="黑体" w:hAnsi="黑体" w:eastAsia="黑体" w:cstheme="minorBidi"/>
      <w:b/>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4.emf"/><Relationship Id="rId14" Type="http://schemas.openxmlformats.org/officeDocument/2006/relationships/oleObject" Target="embeddings/oleObject2.bin"/><Relationship Id="rId13" Type="http://schemas.openxmlformats.org/officeDocument/2006/relationships/image" Target="media/image3.emf"/><Relationship Id="rId12" Type="http://schemas.openxmlformats.org/officeDocument/2006/relationships/oleObject" Target="embeddings/oleObject1.bin"/><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59</Pages>
  <Words>30711</Words>
  <Characters>1556</Characters>
  <Lines>12</Lines>
  <Paragraphs>64</Paragraphs>
  <TotalTime>4</TotalTime>
  <ScaleCrop>false</ScaleCrop>
  <LinksUpToDate>false</LinksUpToDate>
  <CharactersWithSpaces>32203</CharactersWithSpaces>
  <Application>WPS Office_6.2.2.8394_F1E327BC-269C-435d-A152-05C5408002CA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2023-11-07T16:44:00Z</dcterms:created>
  <dc:creator>wangzhe</dc:creator>
  <cp:lastModifiedBy>麦咖啡</cp:lastModifiedBy>
  <cp:lastPrinted>2021-09-02T22:32:00Z</cp:lastPrinted>
  <dcterms:modified xsi:type="dcterms:W3CDTF">2023-11-07T16:49:44Z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485F2D283A3DA6BBDE9D2E658F192748_42</vt:lpwstr>
  </property>
</Properties>
</file>